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6C770496" w:rsidR="00420A38" w:rsidRPr="007A395D" w:rsidRDefault="00420A38" w:rsidP="000049D8">
      <w:pPr>
        <w:pStyle w:val="Header"/>
        <w:tabs>
          <w:tab w:val="clear" w:pos="9639"/>
          <w:tab w:val="right" w:pos="5954"/>
        </w:tabs>
        <w:spacing w:after="240"/>
        <w:jc w:val="right"/>
        <w:rPr>
          <w:rFonts w:ascii="Calibri" w:hAnsi="Calibri"/>
          <w:lang w:eastAsia="ko-KR"/>
        </w:rPr>
      </w:pPr>
      <w:r w:rsidRPr="007A395D">
        <w:rPr>
          <w:rFonts w:ascii="Calibri" w:hAnsi="Calibri"/>
        </w:rPr>
        <w:t>Input paper</w:t>
      </w:r>
      <w:r w:rsidR="00037DF4" w:rsidRPr="007A395D">
        <w:rPr>
          <w:rFonts w:ascii="Calibri" w:hAnsi="Calibri"/>
        </w:rPr>
        <w:t>:</w:t>
      </w:r>
      <w:r w:rsidR="000049D8" w:rsidRPr="007A395D">
        <w:rPr>
          <w:rFonts w:ascii="Calibri" w:hAnsi="Calibri"/>
        </w:rPr>
        <w:t xml:space="preserve"> </w:t>
      </w:r>
      <w:r w:rsidR="0002383E">
        <w:rPr>
          <w:rFonts w:ascii="Calibri" w:hAnsi="Calibri"/>
          <w:lang w:eastAsia="ko-KR"/>
        </w:rPr>
        <w:t>PAP56-2.21.1</w:t>
      </w: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0424EF37" w:rsidR="0080294B" w:rsidRPr="007A395D" w:rsidRDefault="00CA15A9"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ARM</w:t>
      </w:r>
      <w:r w:rsidR="00037DF4" w:rsidRPr="007A395D">
        <w:rPr>
          <w:rFonts w:ascii="Calibri" w:hAnsi="Calibri" w:cs="Arial"/>
        </w:rPr>
        <w:tab/>
      </w:r>
      <w:r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ENG</w:t>
      </w:r>
      <w:r w:rsidR="0080294B" w:rsidRPr="007A395D">
        <w:rPr>
          <w:rFonts w:ascii="Calibri" w:hAnsi="Calibri" w:cs="Arial"/>
        </w:rPr>
        <w:tab/>
      </w:r>
      <w:r w:rsidR="0080294B" w:rsidRPr="007A395D">
        <w:rPr>
          <w:rFonts w:ascii="Calibri" w:hAnsi="Calibri" w:cs="Arial"/>
        </w:rPr>
        <w:tab/>
      </w:r>
      <w:r w:rsidR="000205EE">
        <w:rPr>
          <w:rFonts w:ascii="Calibri" w:hAnsi="Calibri" w:cs="Arial"/>
        </w:rPr>
        <w:t>X</w:t>
      </w:r>
      <w:r w:rsidR="0080294B" w:rsidRPr="007A395D">
        <w:rPr>
          <w:rFonts w:ascii="Calibri" w:hAnsi="Calibri" w:cs="Arial"/>
          <w:sz w:val="24"/>
          <w:szCs w:val="24"/>
        </w:rPr>
        <w:t xml:space="preserve">  </w:t>
      </w:r>
      <w:r w:rsidR="0080294B" w:rsidRPr="007A395D">
        <w:rPr>
          <w:rFonts w:ascii="Calibri" w:hAnsi="Calibri" w:cs="Arial"/>
        </w:rPr>
        <w:t>PAP</w:t>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Pr>
          <w:rFonts w:ascii="Calibri" w:hAnsi="Calibri" w:cs="Arial"/>
        </w:rPr>
        <w:t>X</w:t>
      </w:r>
      <w:r w:rsidR="0080294B" w:rsidRPr="007A395D">
        <w:rPr>
          <w:rFonts w:ascii="Calibri" w:hAnsi="Calibri" w:cs="Arial"/>
          <w:sz w:val="24"/>
          <w:szCs w:val="24"/>
        </w:rPr>
        <w:t xml:space="preserve">  Input</w:t>
      </w:r>
    </w:p>
    <w:p w14:paraId="0BC79547" w14:textId="665F723D" w:rsidR="0080294B" w:rsidRPr="007A395D" w:rsidRDefault="00CA15A9" w:rsidP="00037DF4">
      <w:pPr>
        <w:pStyle w:val="BodyText"/>
        <w:tabs>
          <w:tab w:val="left" w:pos="1843"/>
        </w:tabs>
        <w:rPr>
          <w:rFonts w:ascii="Calibri" w:hAnsi="Calibri"/>
        </w:rPr>
      </w:pPr>
      <w:r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ENAV</w:t>
      </w:r>
      <w:r w:rsidR="0080294B" w:rsidRPr="007A395D">
        <w:rPr>
          <w:rFonts w:ascii="Calibri" w:hAnsi="Calibri" w:cs="Arial"/>
          <w:b/>
          <w:sz w:val="24"/>
          <w:szCs w:val="24"/>
        </w:rPr>
        <w:tab/>
      </w:r>
      <w:r w:rsidRPr="007A395D">
        <w:rPr>
          <w:rFonts w:ascii="Calibri" w:hAnsi="Calibri" w:cs="Arial"/>
          <w:b/>
          <w:sz w:val="24"/>
          <w:szCs w:val="24"/>
        </w:rPr>
        <w:t>□</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0080294B"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3EC557B1" w:rsidR="00A446C9" w:rsidRPr="007A395D" w:rsidRDefault="00A446C9" w:rsidP="00FE5674">
      <w:pPr>
        <w:pStyle w:val="BodyText"/>
        <w:tabs>
          <w:tab w:val="left" w:pos="2835"/>
        </w:tabs>
        <w:rPr>
          <w:rFonts w:ascii="Calibri" w:hAnsi="Calibri"/>
        </w:rPr>
      </w:pPr>
      <w:r w:rsidRPr="007A395D">
        <w:rPr>
          <w:rFonts w:ascii="Calibri" w:hAnsi="Calibri"/>
        </w:rPr>
        <w:t>Agenda item</w:t>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02383E">
        <w:rPr>
          <w:rFonts w:ascii="Calibri" w:hAnsi="Calibri"/>
        </w:rPr>
        <w:t>2.21.1</w:t>
      </w:r>
    </w:p>
    <w:p w14:paraId="01FC5420" w14:textId="16B7C898" w:rsidR="00362CD9" w:rsidRDefault="00362CD9" w:rsidP="00FE5674">
      <w:pPr>
        <w:pStyle w:val="BodyText"/>
        <w:tabs>
          <w:tab w:val="left" w:pos="2835"/>
        </w:tabs>
        <w:rPr>
          <w:rFonts w:ascii="Calibri" w:hAnsi="Calibri"/>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r w:rsidR="00394293">
        <w:rPr>
          <w:rFonts w:ascii="Calibri" w:hAnsi="Calibri"/>
        </w:rPr>
        <w:t>Secretariat</w:t>
      </w:r>
    </w:p>
    <w:p w14:paraId="15987293" w14:textId="77777777" w:rsidR="006F46B5" w:rsidRPr="007A395D" w:rsidRDefault="006F46B5" w:rsidP="00FE5674">
      <w:pPr>
        <w:pStyle w:val="BodyText"/>
        <w:tabs>
          <w:tab w:val="left" w:pos="2835"/>
        </w:tabs>
        <w:rPr>
          <w:rFonts w:ascii="Calibri" w:hAnsi="Calibri"/>
          <w:color w:val="FF0000"/>
        </w:rPr>
      </w:pPr>
    </w:p>
    <w:p w14:paraId="4834080C" w14:textId="41D452C5" w:rsidR="00A446C9" w:rsidRPr="00605E43" w:rsidRDefault="00394293" w:rsidP="00A446C9">
      <w:pPr>
        <w:pStyle w:val="Title"/>
        <w:rPr>
          <w:rFonts w:ascii="Calibri" w:hAnsi="Calibri"/>
          <w:color w:val="0070C0"/>
          <w:lang w:eastAsia="ko-KR"/>
        </w:rPr>
      </w:pPr>
      <w:r>
        <w:rPr>
          <w:rFonts w:ascii="Calibri" w:hAnsi="Calibri"/>
          <w:color w:val="0070C0"/>
        </w:rPr>
        <w:t>Re</w:t>
      </w:r>
      <w:r w:rsidR="00CA15A9">
        <w:rPr>
          <w:rFonts w:ascii="Calibri" w:hAnsi="Calibri" w:hint="eastAsia"/>
          <w:color w:val="0070C0"/>
          <w:lang w:eastAsia="ko-KR"/>
        </w:rPr>
        <w:t>view of concepts, features</w:t>
      </w:r>
      <w:r w:rsidR="00EF3D54">
        <w:rPr>
          <w:rFonts w:ascii="Calibri" w:hAnsi="Calibri" w:hint="eastAsia"/>
          <w:color w:val="0070C0"/>
          <w:lang w:eastAsia="ko-KR"/>
        </w:rPr>
        <w:t xml:space="preserve"> and attributes of S-201 AtoN information and development of an AtoN concept registry</w:t>
      </w:r>
    </w:p>
    <w:p w14:paraId="0F258596" w14:textId="1C89CE51" w:rsidR="00A446C9" w:rsidRPr="00605E43" w:rsidRDefault="0037487C" w:rsidP="00605E43">
      <w:pPr>
        <w:pStyle w:val="Heading1"/>
      </w:pPr>
      <w:r>
        <w:rPr>
          <w:rFonts w:hint="eastAsia"/>
          <w:lang w:eastAsia="ko-KR"/>
        </w:rPr>
        <w:t>Summary</w:t>
      </w:r>
    </w:p>
    <w:p w14:paraId="2597591D" w14:textId="17A54067" w:rsidR="00526F8C" w:rsidRDefault="00526F8C" w:rsidP="009765AE">
      <w:pPr>
        <w:pStyle w:val="BodyText"/>
        <w:rPr>
          <w:rFonts w:ascii="Calibri" w:hAnsi="Calibri"/>
          <w:lang w:eastAsia="ko-KR"/>
        </w:rPr>
      </w:pPr>
      <w:r w:rsidRPr="00526F8C">
        <w:rPr>
          <w:rFonts w:ascii="Calibri" w:hAnsi="Calibri"/>
          <w:lang w:eastAsia="ko-KR"/>
        </w:rPr>
        <w:t xml:space="preserve">This document reviews the concepts, features, and attributes of S-201, a standardized Product Specification for Marine Aids to Navigation (AtoN), under the IALA S-200 framework. It highlights the challenges of evolving terminologies, identifies discrepancies between IALA and IHO definitions, and proposes harmonization strategies. The paper aims to create a shared understanding of terms and definitions to ensure consistent and reliable </w:t>
      </w:r>
      <w:r>
        <w:rPr>
          <w:rFonts w:ascii="Calibri" w:hAnsi="Calibri" w:hint="eastAsia"/>
          <w:lang w:eastAsia="ko-KR"/>
        </w:rPr>
        <w:t>AtoN</w:t>
      </w:r>
      <w:r w:rsidRPr="00526F8C">
        <w:rPr>
          <w:rFonts w:ascii="Calibri" w:hAnsi="Calibri"/>
          <w:lang w:eastAsia="ko-KR"/>
        </w:rPr>
        <w:t xml:space="preserve"> data for </w:t>
      </w:r>
      <w:r>
        <w:rPr>
          <w:rFonts w:ascii="Calibri" w:hAnsi="Calibri" w:hint="eastAsia"/>
          <w:lang w:eastAsia="ko-KR"/>
        </w:rPr>
        <w:t xml:space="preserve">IALA Member States and </w:t>
      </w:r>
      <w:r w:rsidRPr="00526F8C">
        <w:rPr>
          <w:rFonts w:ascii="Calibri" w:hAnsi="Calibri"/>
          <w:lang w:eastAsia="ko-KR"/>
        </w:rPr>
        <w:t>global maritime stakeholders.</w:t>
      </w:r>
    </w:p>
    <w:p w14:paraId="7989F3DD" w14:textId="7B18DA61" w:rsidR="0037487C" w:rsidRPr="0037487C" w:rsidRDefault="0037487C" w:rsidP="009765AE">
      <w:pPr>
        <w:pStyle w:val="Heading1"/>
      </w:pPr>
      <w:r>
        <w:rPr>
          <w:rFonts w:hint="eastAsia"/>
          <w:lang w:eastAsia="ko-KR"/>
        </w:rPr>
        <w:t>Background</w:t>
      </w:r>
    </w:p>
    <w:p w14:paraId="34F16C9F" w14:textId="64E032B6" w:rsidR="00FF55DE" w:rsidRPr="00FF55DE" w:rsidRDefault="00526F8C" w:rsidP="00FF55DE">
      <w:pPr>
        <w:pStyle w:val="BodyText"/>
        <w:rPr>
          <w:rFonts w:ascii="Calibri" w:hAnsi="Calibri"/>
          <w:lang w:eastAsia="ko-KR"/>
        </w:rPr>
      </w:pPr>
      <w:r>
        <w:rPr>
          <w:rFonts w:ascii="Calibri" w:hAnsi="Calibri" w:hint="eastAsia"/>
          <w:lang w:eastAsia="ko-KR"/>
        </w:rPr>
        <w:t>AtoN</w:t>
      </w:r>
      <w:r w:rsidR="00FF55DE" w:rsidRPr="00FF55DE">
        <w:rPr>
          <w:rFonts w:ascii="Calibri" w:hAnsi="Calibri"/>
          <w:lang w:eastAsia="ko-KR"/>
        </w:rPr>
        <w:t xml:space="preserve"> are essential </w:t>
      </w:r>
      <w:r>
        <w:rPr>
          <w:rFonts w:ascii="Calibri" w:hAnsi="Calibri" w:hint="eastAsia"/>
          <w:lang w:eastAsia="ko-KR"/>
        </w:rPr>
        <w:t>infra</w:t>
      </w:r>
      <w:r w:rsidR="00FF55DE" w:rsidRPr="00FF55DE">
        <w:rPr>
          <w:rFonts w:ascii="Calibri" w:hAnsi="Calibri"/>
          <w:lang w:eastAsia="ko-KR"/>
        </w:rPr>
        <w:t xml:space="preserve"> used to ensure the safety and efficiency of maritime traffic. These aids include buoys, beacons, lights, sound signals, and other systems that guide mariners and enhance navigational accuracy. Traditionally, the management and understanding of these AtoN have relied on established terms, symbols, and definitions, many of which have remained unchanged for decades.</w:t>
      </w:r>
    </w:p>
    <w:p w14:paraId="1A215941" w14:textId="5A02F90E" w:rsidR="002B1257" w:rsidRPr="00C76733" w:rsidRDefault="00FF55DE" w:rsidP="00C76733">
      <w:pPr>
        <w:pStyle w:val="BodyText"/>
        <w:rPr>
          <w:rFonts w:ascii="Calibri" w:hAnsi="Calibri"/>
          <w:lang w:eastAsia="ko-KR"/>
        </w:rPr>
      </w:pPr>
      <w:r w:rsidRPr="00FF55DE">
        <w:rPr>
          <w:rFonts w:ascii="Calibri" w:hAnsi="Calibri"/>
          <w:lang w:eastAsia="ko-KR"/>
        </w:rPr>
        <w:t>The introduction of S-201, a Product Specification</w:t>
      </w:r>
      <w:r>
        <w:rPr>
          <w:rFonts w:ascii="Calibri" w:hAnsi="Calibri" w:hint="eastAsia"/>
          <w:lang w:eastAsia="ko-KR"/>
        </w:rPr>
        <w:t xml:space="preserve"> under IALA</w:t>
      </w:r>
      <w:r w:rsidRPr="00FF55DE">
        <w:rPr>
          <w:rFonts w:ascii="Calibri" w:hAnsi="Calibri"/>
          <w:lang w:eastAsia="ko-KR"/>
        </w:rPr>
        <w:t xml:space="preserve"> S-200 framework, marks a significant step in modernizing the digital representation and exchange of AtoN information. S-201 ensures that data on marine AtoN is structured, interoperable, and easily integrated with other systems</w:t>
      </w:r>
      <w:r w:rsidR="00526F8C">
        <w:rPr>
          <w:rFonts w:ascii="Calibri" w:hAnsi="Calibri" w:hint="eastAsia"/>
          <w:lang w:eastAsia="ko-KR"/>
        </w:rPr>
        <w:t xml:space="preserve"> of stakeholders</w:t>
      </w:r>
      <w:r w:rsidRPr="00FF55DE">
        <w:rPr>
          <w:rFonts w:ascii="Calibri" w:hAnsi="Calibri"/>
          <w:lang w:eastAsia="ko-KR"/>
        </w:rPr>
        <w:t xml:space="preserve">, including nautical charts and </w:t>
      </w:r>
      <w:r w:rsidR="00526F8C">
        <w:rPr>
          <w:rFonts w:ascii="Calibri" w:hAnsi="Calibri" w:hint="eastAsia"/>
          <w:lang w:eastAsia="ko-KR"/>
        </w:rPr>
        <w:t>other</w:t>
      </w:r>
      <w:r w:rsidRPr="00FF55DE">
        <w:rPr>
          <w:rFonts w:ascii="Calibri" w:hAnsi="Calibri"/>
          <w:lang w:eastAsia="ko-KR"/>
        </w:rPr>
        <w:t xml:space="preserve"> tools.</w:t>
      </w:r>
    </w:p>
    <w:p w14:paraId="0378A724" w14:textId="41336B6E" w:rsidR="003C7BB7" w:rsidRPr="007A395D" w:rsidRDefault="00F73288" w:rsidP="003C7BB7">
      <w:pPr>
        <w:pStyle w:val="Heading1"/>
      </w:pPr>
      <w:r>
        <w:rPr>
          <w:rFonts w:hint="eastAsia"/>
          <w:lang w:eastAsia="ko-KR"/>
        </w:rPr>
        <w:t>purpose of the paper</w:t>
      </w:r>
    </w:p>
    <w:p w14:paraId="4F3F9ECE" w14:textId="4526B7DF" w:rsidR="0036475D" w:rsidRPr="0036475D" w:rsidRDefault="0036475D" w:rsidP="0036475D">
      <w:pPr>
        <w:pStyle w:val="BodyText"/>
        <w:rPr>
          <w:rFonts w:ascii="Calibri" w:hAnsi="Calibri"/>
          <w:lang w:eastAsia="ko-KR"/>
        </w:rPr>
      </w:pPr>
      <w:r w:rsidRPr="0036475D">
        <w:rPr>
          <w:rFonts w:ascii="Calibri" w:hAnsi="Calibri"/>
          <w:lang w:eastAsia="ko-KR"/>
        </w:rPr>
        <w:t>This paper addresses a key challenge posed by S-201: the evolution of terms and definitions. Many of the traditional terms used in marine AtoN have been updated, creating potential discrepancies between IALA's definitions, the IHO's terms, and broader maritime usage. This document compares these definitions, identifies inconsistencies, and proposes a path toward harmonization.</w:t>
      </w:r>
    </w:p>
    <w:p w14:paraId="242EFBE9" w14:textId="19043638" w:rsidR="0036475D" w:rsidRDefault="0036475D" w:rsidP="003C7BB7">
      <w:pPr>
        <w:pStyle w:val="BodyText"/>
        <w:rPr>
          <w:rFonts w:ascii="Calibri" w:hAnsi="Calibri"/>
          <w:lang w:eastAsia="ko-KR"/>
        </w:rPr>
      </w:pPr>
      <w:r w:rsidRPr="0036475D">
        <w:rPr>
          <w:rFonts w:ascii="Calibri" w:hAnsi="Calibri"/>
          <w:lang w:eastAsia="ko-KR"/>
        </w:rPr>
        <w:t xml:space="preserve">The ultimate goal is to create a shared understanding of terms across </w:t>
      </w:r>
      <w:r w:rsidR="00526F8C">
        <w:rPr>
          <w:rFonts w:ascii="Calibri" w:hAnsi="Calibri" w:hint="eastAsia"/>
          <w:lang w:eastAsia="ko-KR"/>
        </w:rPr>
        <w:t xml:space="preserve">Member States and </w:t>
      </w:r>
      <w:r w:rsidRPr="0036475D">
        <w:rPr>
          <w:rFonts w:ascii="Calibri" w:hAnsi="Calibri"/>
          <w:lang w:eastAsia="ko-KR"/>
        </w:rPr>
        <w:t xml:space="preserve">stakeholders. Once internal agreement is reached within IALA, the changes will be communicated to the IHO for integration into their Geospatial Information (GI) Registry (registry.iho.int), which serves as a global standard for </w:t>
      </w:r>
      <w:r w:rsidR="00526F8C">
        <w:rPr>
          <w:rFonts w:ascii="Calibri" w:hAnsi="Calibri" w:hint="eastAsia"/>
          <w:lang w:eastAsia="ko-KR"/>
        </w:rPr>
        <w:t>S-100</w:t>
      </w:r>
      <w:r w:rsidRPr="0036475D">
        <w:rPr>
          <w:rFonts w:ascii="Calibri" w:hAnsi="Calibri"/>
          <w:lang w:eastAsia="ko-KR"/>
        </w:rPr>
        <w:t xml:space="preserve"> data. The agreed definitions could also form the basis of a</w:t>
      </w:r>
      <w:r w:rsidR="00526F8C">
        <w:rPr>
          <w:rFonts w:ascii="Calibri" w:hAnsi="Calibri" w:hint="eastAsia"/>
          <w:lang w:eastAsia="ko-KR"/>
        </w:rPr>
        <w:t>n IALA</w:t>
      </w:r>
      <w:r w:rsidRPr="0036475D">
        <w:rPr>
          <w:rFonts w:ascii="Calibri" w:hAnsi="Calibri"/>
          <w:lang w:eastAsia="ko-KR"/>
        </w:rPr>
        <w:t xml:space="preserve"> user manual or publication to support mariners and other users of S-201.</w:t>
      </w:r>
    </w:p>
    <w:p w14:paraId="56FECF92" w14:textId="4A09BE47" w:rsidR="00F534F9" w:rsidRPr="00B10BFE" w:rsidRDefault="00F534F9" w:rsidP="00B10BFE">
      <w:pPr>
        <w:pStyle w:val="Heading1"/>
      </w:pPr>
      <w:r>
        <w:rPr>
          <w:rFonts w:hint="eastAsia"/>
          <w:lang w:eastAsia="ko-KR"/>
        </w:rPr>
        <w:t>key findings from the review</w:t>
      </w:r>
    </w:p>
    <w:p w14:paraId="639510E8" w14:textId="77777777" w:rsidR="00A9097D" w:rsidRPr="00A9097D" w:rsidRDefault="00A9097D" w:rsidP="00A9097D">
      <w:pPr>
        <w:spacing w:line="276" w:lineRule="auto"/>
        <w:jc w:val="both"/>
        <w:rPr>
          <w:rFonts w:asciiTheme="minorHAnsi" w:hAnsiTheme="minorHAnsi" w:cstheme="minorHAnsi"/>
        </w:rPr>
      </w:pPr>
      <w:r w:rsidRPr="00A9097D">
        <w:rPr>
          <w:rFonts w:asciiTheme="minorHAnsi" w:hAnsiTheme="minorHAnsi" w:cstheme="minorHAnsi"/>
        </w:rPr>
        <w:t>During the comparative analysis, several observations emerged:</w:t>
      </w:r>
    </w:p>
    <w:p w14:paraId="68B6813A" w14:textId="1CA8F77D" w:rsidR="00A9097D" w:rsidRPr="00A9097D" w:rsidRDefault="00A9097D" w:rsidP="00A9097D">
      <w:pPr>
        <w:numPr>
          <w:ilvl w:val="0"/>
          <w:numId w:val="36"/>
        </w:numPr>
        <w:spacing w:line="276" w:lineRule="auto"/>
        <w:jc w:val="both"/>
        <w:rPr>
          <w:rFonts w:asciiTheme="minorHAnsi" w:hAnsiTheme="minorHAnsi" w:cstheme="minorHAnsi"/>
        </w:rPr>
      </w:pPr>
      <w:r w:rsidRPr="00A9097D">
        <w:rPr>
          <w:rFonts w:asciiTheme="minorHAnsi" w:hAnsiTheme="minorHAnsi" w:cstheme="minorHAnsi"/>
        </w:rPr>
        <w:t xml:space="preserve">Discrepancies </w:t>
      </w:r>
      <w:r w:rsidR="00526F8C">
        <w:rPr>
          <w:rFonts w:asciiTheme="minorHAnsi" w:hAnsiTheme="minorHAnsi" w:cstheme="minorHAnsi" w:hint="eastAsia"/>
          <w:lang w:eastAsia="ko-KR"/>
        </w:rPr>
        <w:t>b</w:t>
      </w:r>
      <w:r w:rsidRPr="00A9097D">
        <w:rPr>
          <w:rFonts w:asciiTheme="minorHAnsi" w:hAnsiTheme="minorHAnsi" w:cstheme="minorHAnsi"/>
        </w:rPr>
        <w:t xml:space="preserve">etween IALA and IHO </w:t>
      </w:r>
      <w:r w:rsidR="00526F8C">
        <w:rPr>
          <w:rFonts w:asciiTheme="minorHAnsi" w:hAnsiTheme="minorHAnsi" w:cstheme="minorHAnsi" w:hint="eastAsia"/>
          <w:lang w:eastAsia="ko-KR"/>
        </w:rPr>
        <w:t>t</w:t>
      </w:r>
      <w:r w:rsidRPr="00A9097D">
        <w:rPr>
          <w:rFonts w:asciiTheme="minorHAnsi" w:hAnsiTheme="minorHAnsi" w:cstheme="minorHAnsi"/>
        </w:rPr>
        <w:t>erminologies:</w:t>
      </w:r>
    </w:p>
    <w:p w14:paraId="3C886BF5" w14:textId="0DEB0171" w:rsidR="00A9097D" w:rsidRPr="00A9097D" w:rsidRDefault="00A9097D" w:rsidP="00A9097D">
      <w:pPr>
        <w:numPr>
          <w:ilvl w:val="1"/>
          <w:numId w:val="36"/>
        </w:numPr>
        <w:spacing w:line="276" w:lineRule="auto"/>
        <w:jc w:val="both"/>
        <w:rPr>
          <w:rFonts w:asciiTheme="minorHAnsi" w:hAnsiTheme="minorHAnsi" w:cstheme="minorHAnsi"/>
        </w:rPr>
      </w:pPr>
      <w:r w:rsidRPr="00A9097D">
        <w:rPr>
          <w:rFonts w:asciiTheme="minorHAnsi" w:hAnsiTheme="minorHAnsi" w:cstheme="minorHAnsi"/>
        </w:rPr>
        <w:lastRenderedPageBreak/>
        <w:t xml:space="preserve">IHO terms and definitions are designed primarily for use in nautical charts and focus on the portrayal of AtoN on paper and </w:t>
      </w:r>
      <w:r w:rsidR="00526F8C">
        <w:rPr>
          <w:rFonts w:asciiTheme="minorHAnsi" w:hAnsiTheme="minorHAnsi" w:cstheme="minorHAnsi" w:hint="eastAsia"/>
          <w:lang w:eastAsia="ko-KR"/>
        </w:rPr>
        <w:t>ECDIS</w:t>
      </w:r>
      <w:r w:rsidRPr="00A9097D">
        <w:rPr>
          <w:rFonts w:asciiTheme="minorHAnsi" w:hAnsiTheme="minorHAnsi" w:cstheme="minorHAnsi"/>
        </w:rPr>
        <w:t>.</w:t>
      </w:r>
    </w:p>
    <w:p w14:paraId="58A26055" w14:textId="77777777" w:rsidR="00A9097D" w:rsidRPr="00A9097D" w:rsidRDefault="00A9097D" w:rsidP="00A9097D">
      <w:pPr>
        <w:numPr>
          <w:ilvl w:val="1"/>
          <w:numId w:val="36"/>
        </w:numPr>
        <w:spacing w:line="276" w:lineRule="auto"/>
        <w:jc w:val="both"/>
        <w:rPr>
          <w:rFonts w:asciiTheme="minorHAnsi" w:hAnsiTheme="minorHAnsi" w:cstheme="minorHAnsi"/>
        </w:rPr>
      </w:pPr>
      <w:r w:rsidRPr="00A9097D">
        <w:rPr>
          <w:rFonts w:asciiTheme="minorHAnsi" w:hAnsiTheme="minorHAnsi" w:cstheme="minorHAnsi"/>
        </w:rPr>
        <w:t>IALA’s terms emphasize practical application and operational use by mariners, such as the management and maintenance of AtoN.</w:t>
      </w:r>
    </w:p>
    <w:p w14:paraId="68567DE9" w14:textId="06F27290" w:rsidR="00A9097D" w:rsidRPr="00A9097D" w:rsidRDefault="00A9097D" w:rsidP="00A9097D">
      <w:pPr>
        <w:numPr>
          <w:ilvl w:val="0"/>
          <w:numId w:val="36"/>
        </w:numPr>
        <w:spacing w:line="276" w:lineRule="auto"/>
        <w:jc w:val="both"/>
        <w:rPr>
          <w:rFonts w:asciiTheme="minorHAnsi" w:hAnsiTheme="minorHAnsi" w:cstheme="minorHAnsi"/>
        </w:rPr>
      </w:pPr>
      <w:r w:rsidRPr="00A9097D">
        <w:rPr>
          <w:rFonts w:asciiTheme="minorHAnsi" w:hAnsiTheme="minorHAnsi" w:cstheme="minorHAnsi"/>
        </w:rPr>
        <w:t xml:space="preserve">Adaptation and </w:t>
      </w:r>
      <w:r w:rsidR="00526F8C">
        <w:rPr>
          <w:rFonts w:asciiTheme="minorHAnsi" w:hAnsiTheme="minorHAnsi" w:cstheme="minorHAnsi" w:hint="eastAsia"/>
          <w:lang w:eastAsia="ko-KR"/>
        </w:rPr>
        <w:t>h</w:t>
      </w:r>
      <w:r w:rsidRPr="00A9097D">
        <w:rPr>
          <w:rFonts w:asciiTheme="minorHAnsi" w:hAnsiTheme="minorHAnsi" w:cstheme="minorHAnsi"/>
        </w:rPr>
        <w:t>armonization:</w:t>
      </w:r>
    </w:p>
    <w:p w14:paraId="59293619" w14:textId="77777777" w:rsidR="00A9097D" w:rsidRPr="00A9097D" w:rsidRDefault="00A9097D" w:rsidP="00A9097D">
      <w:pPr>
        <w:numPr>
          <w:ilvl w:val="1"/>
          <w:numId w:val="36"/>
        </w:numPr>
        <w:spacing w:line="276" w:lineRule="auto"/>
        <w:jc w:val="both"/>
        <w:rPr>
          <w:rFonts w:asciiTheme="minorHAnsi" w:hAnsiTheme="minorHAnsi" w:cstheme="minorHAnsi"/>
        </w:rPr>
      </w:pPr>
      <w:r w:rsidRPr="00A9097D">
        <w:rPr>
          <w:rFonts w:asciiTheme="minorHAnsi" w:hAnsiTheme="minorHAnsi" w:cstheme="minorHAnsi"/>
        </w:rPr>
        <w:t>Some concepts and terms from the IHO are suitable for adoption by IALA.</w:t>
      </w:r>
    </w:p>
    <w:p w14:paraId="1D0D50D9" w14:textId="77777777" w:rsidR="00A9097D" w:rsidRPr="00A9097D" w:rsidRDefault="00A9097D" w:rsidP="00A9097D">
      <w:pPr>
        <w:numPr>
          <w:ilvl w:val="1"/>
          <w:numId w:val="36"/>
        </w:numPr>
        <w:spacing w:line="276" w:lineRule="auto"/>
        <w:jc w:val="both"/>
        <w:rPr>
          <w:rFonts w:asciiTheme="minorHAnsi" w:hAnsiTheme="minorHAnsi" w:cstheme="minorHAnsi"/>
        </w:rPr>
      </w:pPr>
      <w:r w:rsidRPr="00A9097D">
        <w:rPr>
          <w:rFonts w:asciiTheme="minorHAnsi" w:hAnsiTheme="minorHAnsi" w:cstheme="minorHAnsi"/>
        </w:rPr>
        <w:t>In cases where agreement cannot be reached, it is recommended that IALA informs the IHO and works to address these discrepancies through updates to the IHO GI Registry.</w:t>
      </w:r>
    </w:p>
    <w:p w14:paraId="22E360A9" w14:textId="0FB3CCC7" w:rsidR="00A9097D" w:rsidRPr="00A9097D" w:rsidRDefault="00A9097D" w:rsidP="00A9097D">
      <w:pPr>
        <w:numPr>
          <w:ilvl w:val="0"/>
          <w:numId w:val="36"/>
        </w:numPr>
        <w:spacing w:line="276" w:lineRule="auto"/>
        <w:jc w:val="both"/>
        <w:rPr>
          <w:rFonts w:asciiTheme="minorHAnsi" w:hAnsiTheme="minorHAnsi" w:cstheme="minorHAnsi"/>
        </w:rPr>
      </w:pPr>
      <w:r w:rsidRPr="00A9097D">
        <w:rPr>
          <w:rFonts w:asciiTheme="minorHAnsi" w:hAnsiTheme="minorHAnsi" w:cstheme="minorHAnsi"/>
        </w:rPr>
        <w:t xml:space="preserve">Terminology </w:t>
      </w:r>
      <w:r w:rsidR="00526F8C">
        <w:rPr>
          <w:rFonts w:asciiTheme="minorHAnsi" w:hAnsiTheme="minorHAnsi" w:cstheme="minorHAnsi" w:hint="eastAsia"/>
          <w:lang w:eastAsia="ko-KR"/>
        </w:rPr>
        <w:t>f</w:t>
      </w:r>
      <w:r w:rsidRPr="00A9097D">
        <w:rPr>
          <w:rFonts w:asciiTheme="minorHAnsi" w:hAnsiTheme="minorHAnsi" w:cstheme="minorHAnsi"/>
        </w:rPr>
        <w:t>ramework:</w:t>
      </w:r>
    </w:p>
    <w:p w14:paraId="08000658" w14:textId="77777777" w:rsidR="00A9097D" w:rsidRPr="00A9097D" w:rsidRDefault="00A9097D" w:rsidP="00A9097D">
      <w:pPr>
        <w:numPr>
          <w:ilvl w:val="1"/>
          <w:numId w:val="36"/>
        </w:numPr>
        <w:spacing w:line="276" w:lineRule="auto"/>
        <w:jc w:val="both"/>
        <w:rPr>
          <w:rFonts w:asciiTheme="minorHAnsi" w:hAnsiTheme="minorHAnsi" w:cstheme="minorHAnsi"/>
        </w:rPr>
      </w:pPr>
      <w:r w:rsidRPr="00A9097D">
        <w:rPr>
          <w:rFonts w:asciiTheme="minorHAnsi" w:hAnsiTheme="minorHAnsi" w:cstheme="minorHAnsi"/>
        </w:rPr>
        <w:t>All terms must be registered as concepts, and depending on their use in Product Specifications, they can be registered as features or attributes.</w:t>
      </w:r>
    </w:p>
    <w:p w14:paraId="0400145F" w14:textId="77777777" w:rsidR="00A9097D" w:rsidRPr="00A9097D" w:rsidRDefault="00A9097D" w:rsidP="00A9097D">
      <w:pPr>
        <w:numPr>
          <w:ilvl w:val="2"/>
          <w:numId w:val="36"/>
        </w:numPr>
        <w:spacing w:line="276" w:lineRule="auto"/>
        <w:jc w:val="both"/>
        <w:rPr>
          <w:rFonts w:asciiTheme="minorHAnsi" w:hAnsiTheme="minorHAnsi" w:cstheme="minorHAnsi"/>
        </w:rPr>
      </w:pPr>
      <w:r w:rsidRPr="00A9097D">
        <w:rPr>
          <w:rFonts w:asciiTheme="minorHAnsi" w:hAnsiTheme="minorHAnsi" w:cstheme="minorHAnsi"/>
        </w:rPr>
        <w:t>Concepts: Broad ideas that encompass various aspects of marine navigation, such as safety, efficiency, and operational management.</w:t>
      </w:r>
    </w:p>
    <w:p w14:paraId="121A2F0C" w14:textId="77777777" w:rsidR="00A9097D" w:rsidRPr="00A9097D" w:rsidRDefault="00A9097D" w:rsidP="00A9097D">
      <w:pPr>
        <w:numPr>
          <w:ilvl w:val="2"/>
          <w:numId w:val="36"/>
        </w:numPr>
        <w:spacing w:line="276" w:lineRule="auto"/>
        <w:jc w:val="both"/>
        <w:rPr>
          <w:rFonts w:asciiTheme="minorHAnsi" w:hAnsiTheme="minorHAnsi" w:cstheme="minorHAnsi"/>
        </w:rPr>
      </w:pPr>
      <w:r w:rsidRPr="00A9097D">
        <w:rPr>
          <w:rFonts w:asciiTheme="minorHAnsi" w:hAnsiTheme="minorHAnsi" w:cstheme="minorHAnsi"/>
        </w:rPr>
        <w:t>Features: Physical entities represented within the S-201 framework, such as buoys, beacons, and lighthouses.</w:t>
      </w:r>
    </w:p>
    <w:p w14:paraId="118B8B1F" w14:textId="77777777" w:rsidR="00A9097D" w:rsidRPr="00A9097D" w:rsidRDefault="00A9097D" w:rsidP="00A9097D">
      <w:pPr>
        <w:numPr>
          <w:ilvl w:val="2"/>
          <w:numId w:val="36"/>
        </w:numPr>
        <w:spacing w:line="276" w:lineRule="auto"/>
        <w:jc w:val="both"/>
        <w:rPr>
          <w:rFonts w:asciiTheme="minorHAnsi" w:hAnsiTheme="minorHAnsi" w:cstheme="minorHAnsi"/>
        </w:rPr>
      </w:pPr>
      <w:r w:rsidRPr="00A9097D">
        <w:rPr>
          <w:rFonts w:asciiTheme="minorHAnsi" w:hAnsiTheme="minorHAnsi" w:cstheme="minorHAnsi"/>
        </w:rPr>
        <w:t>Attributes: Specific characteristics of features, like colour, shape, light patterns, or operational status.</w:t>
      </w:r>
    </w:p>
    <w:p w14:paraId="294855D0" w14:textId="11FB3C96" w:rsidR="00615030" w:rsidRDefault="00A9097D" w:rsidP="00A9097D">
      <w:pPr>
        <w:spacing w:line="276" w:lineRule="auto"/>
        <w:jc w:val="both"/>
        <w:rPr>
          <w:rFonts w:asciiTheme="minorHAnsi" w:hAnsiTheme="minorHAnsi" w:cstheme="minorHAnsi"/>
        </w:rPr>
      </w:pPr>
      <w:r w:rsidRPr="00A9097D">
        <w:rPr>
          <w:rFonts w:asciiTheme="minorHAnsi" w:hAnsiTheme="minorHAnsi" w:cstheme="minorHAnsi"/>
        </w:rPr>
        <w:t>These terminologies align with the principles of the IHO’s S-100 framework, which defines the general structure for geospatial data in maritime contexts.</w:t>
      </w:r>
    </w:p>
    <w:p w14:paraId="051F452B" w14:textId="77777777" w:rsidR="007E62BA" w:rsidRDefault="007E62BA" w:rsidP="00A9097D">
      <w:pPr>
        <w:spacing w:line="276" w:lineRule="auto"/>
        <w:jc w:val="both"/>
        <w:rPr>
          <w:rFonts w:asciiTheme="minorHAnsi" w:hAnsiTheme="minorHAnsi" w:cstheme="minorHAnsi"/>
        </w:rPr>
      </w:pPr>
    </w:p>
    <w:p w14:paraId="7ED9D5A8" w14:textId="77777777" w:rsidR="007E62BA" w:rsidRDefault="007E62BA" w:rsidP="007E62BA">
      <w:pPr>
        <w:keepNext/>
        <w:spacing w:line="276" w:lineRule="auto"/>
        <w:jc w:val="both"/>
      </w:pPr>
      <w:r>
        <w:rPr>
          <w:noProof/>
        </w:rPr>
        <w:drawing>
          <wp:inline distT="0" distB="0" distL="0" distR="0" wp14:anchorId="6A9454B4" wp14:editId="5302DEA4">
            <wp:extent cx="6180800" cy="1992702"/>
            <wp:effectExtent l="0" t="0" r="0" b="7620"/>
            <wp:docPr id="939065724" name="그림 2" descr="A screenshot of a computer&#10;&#10;Description automatically generated">
              <a:extLst xmlns:a="http://schemas.openxmlformats.org/drawingml/2006/main">
                <a:ext uri="{FF2B5EF4-FFF2-40B4-BE49-F238E27FC236}">
                  <a16:creationId xmlns:a16="http://schemas.microsoft.com/office/drawing/2014/main" id="{E05231F6-2D03-41DC-8A38-B481CB7B04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2" descr="A screenshot of a computer&#10;&#10;Description automatically generated">
                      <a:extLst>
                        <a:ext uri="{FF2B5EF4-FFF2-40B4-BE49-F238E27FC236}">
                          <a16:creationId xmlns:a16="http://schemas.microsoft.com/office/drawing/2014/main" id="{E05231F6-2D03-41DC-8A38-B481CB7B0448}"/>
                        </a:ext>
                      </a:extLst>
                    </pic:cNvPr>
                    <pic:cNvPicPr>
                      <a:picLocks noChangeAspect="1"/>
                    </pic:cNvPicPr>
                  </pic:nvPicPr>
                  <pic:blipFill>
                    <a:blip r:embed="rId11"/>
                    <a:stretch>
                      <a:fillRect/>
                    </a:stretch>
                  </pic:blipFill>
                  <pic:spPr>
                    <a:xfrm>
                      <a:off x="0" y="0"/>
                      <a:ext cx="6197048" cy="1997940"/>
                    </a:xfrm>
                    <a:prstGeom prst="rect">
                      <a:avLst/>
                    </a:prstGeom>
                  </pic:spPr>
                </pic:pic>
              </a:graphicData>
            </a:graphic>
          </wp:inline>
        </w:drawing>
      </w:r>
    </w:p>
    <w:p w14:paraId="4A0D8A58" w14:textId="5E1AA0EC" w:rsidR="007E62BA" w:rsidRPr="00526F8C" w:rsidRDefault="007E62BA" w:rsidP="007E62BA">
      <w:pPr>
        <w:pStyle w:val="Caption"/>
        <w:jc w:val="both"/>
        <w:rPr>
          <w:rFonts w:cs="Arial"/>
          <w:lang w:eastAsia="ko-KR"/>
        </w:rPr>
      </w:pPr>
      <w:r w:rsidRPr="00526F8C">
        <w:rPr>
          <w:rFonts w:cs="Arial"/>
        </w:rPr>
        <w:t xml:space="preserve">Figure </w:t>
      </w:r>
      <w:r w:rsidRPr="00526F8C">
        <w:rPr>
          <w:rFonts w:cs="Arial"/>
        </w:rPr>
        <w:fldChar w:fldCharType="begin"/>
      </w:r>
      <w:r w:rsidRPr="00526F8C">
        <w:rPr>
          <w:rFonts w:cs="Arial"/>
        </w:rPr>
        <w:instrText xml:space="preserve"> SEQ Figure \* ARABIC </w:instrText>
      </w:r>
      <w:r w:rsidRPr="00526F8C">
        <w:rPr>
          <w:rFonts w:cs="Arial"/>
        </w:rPr>
        <w:fldChar w:fldCharType="separate"/>
      </w:r>
      <w:r w:rsidR="00D05DC2" w:rsidRPr="00526F8C">
        <w:rPr>
          <w:rFonts w:cs="Arial"/>
          <w:noProof/>
        </w:rPr>
        <w:t>1</w:t>
      </w:r>
      <w:r w:rsidRPr="00526F8C">
        <w:rPr>
          <w:rFonts w:cs="Arial"/>
        </w:rPr>
        <w:fldChar w:fldCharType="end"/>
      </w:r>
      <w:r w:rsidRPr="00526F8C">
        <w:rPr>
          <w:rFonts w:cs="Arial"/>
          <w:lang w:eastAsia="ko-KR"/>
        </w:rPr>
        <w:t xml:space="preserve"> Example of </w:t>
      </w:r>
      <w:r w:rsidR="00526F8C" w:rsidRPr="00526F8C">
        <w:rPr>
          <w:rFonts w:cs="Arial"/>
          <w:lang w:val="en-US" w:eastAsia="ko-KR"/>
        </w:rPr>
        <w:t>Comparative table of IALA and IHO term and definitions</w:t>
      </w:r>
    </w:p>
    <w:p w14:paraId="6651B3CE" w14:textId="77777777" w:rsidR="00D05DC2" w:rsidRDefault="00D05DC2" w:rsidP="00D05DC2">
      <w:pPr>
        <w:keepNext/>
      </w:pPr>
      <w:r>
        <w:rPr>
          <w:noProof/>
        </w:rPr>
        <w:lastRenderedPageBreak/>
        <w:drawing>
          <wp:inline distT="0" distB="0" distL="0" distR="0" wp14:anchorId="370A1915" wp14:editId="1ACA5193">
            <wp:extent cx="6180455" cy="3195677"/>
            <wp:effectExtent l="0" t="0" r="0" b="5080"/>
            <wp:docPr id="5" name="그림 4" descr="A screenshot of a computer&#10;&#10;Description automatically generated">
              <a:extLst xmlns:a="http://schemas.openxmlformats.org/drawingml/2006/main">
                <a:ext uri="{FF2B5EF4-FFF2-40B4-BE49-F238E27FC236}">
                  <a16:creationId xmlns:a16="http://schemas.microsoft.com/office/drawing/2014/main" id="{8DD2E99A-F818-48F5-9CD7-2669487AE0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descr="A screenshot of a computer&#10;&#10;Description automatically generated">
                      <a:extLst>
                        <a:ext uri="{FF2B5EF4-FFF2-40B4-BE49-F238E27FC236}">
                          <a16:creationId xmlns:a16="http://schemas.microsoft.com/office/drawing/2014/main" id="{8DD2E99A-F818-48F5-9CD7-2669487AE063}"/>
                        </a:ext>
                      </a:extLst>
                    </pic:cNvPr>
                    <pic:cNvPicPr>
                      <a:picLocks noChangeAspect="1"/>
                    </pic:cNvPicPr>
                  </pic:nvPicPr>
                  <pic:blipFill>
                    <a:blip r:embed="rId12"/>
                    <a:stretch>
                      <a:fillRect/>
                    </a:stretch>
                  </pic:blipFill>
                  <pic:spPr>
                    <a:xfrm>
                      <a:off x="0" y="0"/>
                      <a:ext cx="6191296" cy="3201283"/>
                    </a:xfrm>
                    <a:prstGeom prst="rect">
                      <a:avLst/>
                    </a:prstGeom>
                  </pic:spPr>
                </pic:pic>
              </a:graphicData>
            </a:graphic>
          </wp:inline>
        </w:drawing>
      </w:r>
    </w:p>
    <w:p w14:paraId="2100774F" w14:textId="12E1E90C" w:rsidR="007E62BA" w:rsidRPr="007E62BA" w:rsidRDefault="00D05DC2" w:rsidP="008113BE">
      <w:pPr>
        <w:pStyle w:val="Caption"/>
        <w:jc w:val="both"/>
        <w:rPr>
          <w:lang w:eastAsia="ko-KR"/>
        </w:rPr>
      </w:pPr>
      <w:r>
        <w:rPr>
          <w:lang w:eastAsia="ko-KR"/>
        </w:rPr>
        <w:t xml:space="preserve">Figure </w:t>
      </w:r>
      <w:r>
        <w:rPr>
          <w:lang w:eastAsia="ko-KR"/>
        </w:rPr>
        <w:fldChar w:fldCharType="begin"/>
      </w:r>
      <w:r>
        <w:rPr>
          <w:lang w:eastAsia="ko-KR"/>
        </w:rPr>
        <w:instrText xml:space="preserve"> SEQ Figure \* ARABIC </w:instrText>
      </w:r>
      <w:r>
        <w:rPr>
          <w:lang w:eastAsia="ko-KR"/>
        </w:rPr>
        <w:fldChar w:fldCharType="separate"/>
      </w:r>
      <w:r>
        <w:rPr>
          <w:lang w:eastAsia="ko-KR"/>
        </w:rPr>
        <w:t>2</w:t>
      </w:r>
      <w:r>
        <w:rPr>
          <w:lang w:eastAsia="ko-KR"/>
        </w:rPr>
        <w:fldChar w:fldCharType="end"/>
      </w:r>
      <w:r>
        <w:rPr>
          <w:rFonts w:hint="eastAsia"/>
          <w:lang w:eastAsia="ko-KR"/>
        </w:rPr>
        <w:t xml:space="preserve"> Example of</w:t>
      </w:r>
      <w:r w:rsidR="008113BE" w:rsidRPr="008113BE">
        <w:rPr>
          <w:lang w:eastAsia="ko-KR"/>
        </w:rPr>
        <w:t xml:space="preserve"> Reference and legend of IALA AtoN related concepts and symbols</w:t>
      </w:r>
      <w:r w:rsidR="00526F8C">
        <w:rPr>
          <w:rFonts w:hint="eastAsia"/>
          <w:lang w:eastAsia="ko-KR"/>
        </w:rPr>
        <w:t xml:space="preserve"> </w:t>
      </w:r>
    </w:p>
    <w:p w14:paraId="74D16DA9" w14:textId="77777777" w:rsidR="00615030" w:rsidRPr="00DB16AE" w:rsidRDefault="00615030" w:rsidP="00615030">
      <w:pPr>
        <w:pStyle w:val="Heading1"/>
      </w:pPr>
      <w:r w:rsidRPr="00615030">
        <w:t>Timeline and Next Steps</w:t>
      </w:r>
    </w:p>
    <w:p w14:paraId="579A8F17" w14:textId="77777777" w:rsidR="00D72D19" w:rsidRPr="00D72D19" w:rsidRDefault="00D72D19" w:rsidP="00D72D19">
      <w:pPr>
        <w:spacing w:line="276" w:lineRule="auto"/>
        <w:jc w:val="both"/>
        <w:rPr>
          <w:rFonts w:asciiTheme="minorHAnsi" w:hAnsiTheme="minorHAnsi" w:cstheme="minorHAnsi"/>
        </w:rPr>
      </w:pPr>
      <w:r w:rsidRPr="00D72D19">
        <w:rPr>
          <w:rFonts w:asciiTheme="minorHAnsi" w:hAnsiTheme="minorHAnsi" w:cstheme="minorHAnsi"/>
        </w:rPr>
        <w:t>To ensure comprehensive review and input from stakeholders, the following timeline is proposed:</w:t>
      </w:r>
    </w:p>
    <w:p w14:paraId="5F705C6A" w14:textId="71A0A407" w:rsidR="00D72D19" w:rsidRPr="00D72D19" w:rsidRDefault="00D72D19" w:rsidP="00D72D19">
      <w:pPr>
        <w:numPr>
          <w:ilvl w:val="0"/>
          <w:numId w:val="37"/>
        </w:numPr>
        <w:spacing w:line="276" w:lineRule="auto"/>
        <w:jc w:val="both"/>
        <w:rPr>
          <w:rFonts w:asciiTheme="minorHAnsi" w:hAnsiTheme="minorHAnsi" w:cstheme="minorHAnsi"/>
        </w:rPr>
      </w:pPr>
      <w:r w:rsidRPr="00D72D19">
        <w:rPr>
          <w:rFonts w:asciiTheme="minorHAnsi" w:hAnsiTheme="minorHAnsi" w:cstheme="minorHAnsi"/>
        </w:rPr>
        <w:t>First Half of 2025: Committees review the findings and provide feedback.</w:t>
      </w:r>
    </w:p>
    <w:p w14:paraId="74964065" w14:textId="3AC18745" w:rsidR="00D72D19" w:rsidRPr="00D72D19" w:rsidRDefault="00D72D19" w:rsidP="00D72D19">
      <w:pPr>
        <w:numPr>
          <w:ilvl w:val="0"/>
          <w:numId w:val="37"/>
        </w:numPr>
        <w:spacing w:line="276" w:lineRule="auto"/>
        <w:jc w:val="both"/>
        <w:rPr>
          <w:rFonts w:asciiTheme="minorHAnsi" w:hAnsiTheme="minorHAnsi" w:cstheme="minorHAnsi"/>
        </w:rPr>
      </w:pPr>
      <w:r w:rsidRPr="00D72D19">
        <w:rPr>
          <w:rFonts w:asciiTheme="minorHAnsi" w:hAnsiTheme="minorHAnsi" w:cstheme="minorHAnsi"/>
        </w:rPr>
        <w:t>Second Half of 2025: The Secretariat incorporate feedback, refine the document, and recirculate it for final approval and publication.</w:t>
      </w:r>
    </w:p>
    <w:p w14:paraId="1286B0A9" w14:textId="1C452AB8" w:rsidR="00D72D19" w:rsidRPr="00615030" w:rsidRDefault="00D72D19" w:rsidP="00D72D19">
      <w:pPr>
        <w:spacing w:line="276" w:lineRule="auto"/>
        <w:jc w:val="both"/>
        <w:rPr>
          <w:rFonts w:asciiTheme="minorHAnsi" w:hAnsiTheme="minorHAnsi" w:cstheme="minorHAnsi"/>
        </w:rPr>
      </w:pPr>
      <w:r w:rsidRPr="00D72D19">
        <w:rPr>
          <w:rFonts w:asciiTheme="minorHAnsi" w:hAnsiTheme="minorHAnsi" w:cstheme="minorHAnsi"/>
        </w:rPr>
        <w:t>Recognizing the dynamic nature of maritime technology and data standards, the publication will be treated as a living document, updated periodically to reflect ongoing developments and consensus.</w:t>
      </w:r>
    </w:p>
    <w:p w14:paraId="2BCDCA6C" w14:textId="194127D7" w:rsidR="00615030" w:rsidRPr="00DB16AE" w:rsidRDefault="00615030" w:rsidP="00615030">
      <w:pPr>
        <w:pStyle w:val="Heading1"/>
      </w:pPr>
      <w:r w:rsidRPr="00615030">
        <w:t>Action Requested</w:t>
      </w:r>
      <w:r>
        <w:rPr>
          <w:rFonts w:hint="eastAsia"/>
          <w:lang w:eastAsia="ko-KR"/>
        </w:rPr>
        <w:t xml:space="preserve"> of the PAP</w:t>
      </w:r>
    </w:p>
    <w:p w14:paraId="10DB6A2D" w14:textId="73A21022" w:rsidR="00615030" w:rsidRPr="00615030" w:rsidRDefault="00615030" w:rsidP="00577CA4">
      <w:pPr>
        <w:spacing w:line="276" w:lineRule="auto"/>
        <w:jc w:val="both"/>
        <w:rPr>
          <w:rFonts w:asciiTheme="minorHAnsi" w:hAnsiTheme="minorHAnsi" w:cstheme="minorHAnsi"/>
        </w:rPr>
      </w:pPr>
      <w:r w:rsidRPr="00615030">
        <w:rPr>
          <w:rFonts w:asciiTheme="minorHAnsi" w:hAnsiTheme="minorHAnsi" w:cstheme="minorHAnsi"/>
        </w:rPr>
        <w:t>is invited to:</w:t>
      </w:r>
    </w:p>
    <w:p w14:paraId="4C850B20" w14:textId="77777777" w:rsidR="00615030" w:rsidRPr="00577CA4" w:rsidRDefault="00615030" w:rsidP="00577CA4">
      <w:pPr>
        <w:pStyle w:val="ListParagraph"/>
        <w:numPr>
          <w:ilvl w:val="0"/>
          <w:numId w:val="38"/>
        </w:numPr>
        <w:spacing w:line="276" w:lineRule="auto"/>
        <w:jc w:val="both"/>
        <w:rPr>
          <w:rFonts w:asciiTheme="minorHAnsi" w:hAnsiTheme="minorHAnsi" w:cstheme="minorHAnsi"/>
        </w:rPr>
      </w:pPr>
      <w:r w:rsidRPr="00577CA4">
        <w:rPr>
          <w:rFonts w:asciiTheme="minorHAnsi" w:hAnsiTheme="minorHAnsi" w:cstheme="minorHAnsi"/>
          <w:b/>
          <w:bCs/>
        </w:rPr>
        <w:t>Review</w:t>
      </w:r>
      <w:r w:rsidRPr="00577CA4">
        <w:rPr>
          <w:rFonts w:asciiTheme="minorHAnsi" w:hAnsiTheme="minorHAnsi" w:cstheme="minorHAnsi"/>
        </w:rPr>
        <w:t xml:space="preserve"> the annexed list of terms, definitions, and discrepancies between IALA and IHO terminologies.</w:t>
      </w:r>
    </w:p>
    <w:p w14:paraId="2708AF1B" w14:textId="77777777" w:rsidR="00615030" w:rsidRPr="00615030" w:rsidRDefault="00615030" w:rsidP="00577CA4">
      <w:pPr>
        <w:numPr>
          <w:ilvl w:val="0"/>
          <w:numId w:val="38"/>
        </w:numPr>
        <w:spacing w:line="276" w:lineRule="auto"/>
        <w:jc w:val="both"/>
        <w:rPr>
          <w:rFonts w:asciiTheme="minorHAnsi" w:hAnsiTheme="minorHAnsi" w:cstheme="minorHAnsi"/>
        </w:rPr>
      </w:pPr>
      <w:r w:rsidRPr="00577CA4">
        <w:rPr>
          <w:rFonts w:asciiTheme="minorHAnsi" w:hAnsiTheme="minorHAnsi" w:cstheme="minorHAnsi"/>
          <w:b/>
          <w:bCs/>
        </w:rPr>
        <w:t>Provide</w:t>
      </w:r>
      <w:r w:rsidRPr="00615030">
        <w:rPr>
          <w:rFonts w:asciiTheme="minorHAnsi" w:hAnsiTheme="minorHAnsi" w:cstheme="minorHAnsi"/>
        </w:rPr>
        <w:t xml:space="preserve"> feedback and recommendations to the Secretariat.</w:t>
      </w:r>
    </w:p>
    <w:p w14:paraId="2245CF22" w14:textId="77777777" w:rsidR="00A35C7F" w:rsidRDefault="00615030" w:rsidP="00577CA4">
      <w:pPr>
        <w:numPr>
          <w:ilvl w:val="0"/>
          <w:numId w:val="38"/>
        </w:numPr>
        <w:spacing w:line="276" w:lineRule="auto"/>
        <w:jc w:val="both"/>
        <w:rPr>
          <w:rFonts w:asciiTheme="minorHAnsi" w:hAnsiTheme="minorHAnsi" w:cstheme="minorHAnsi"/>
        </w:rPr>
      </w:pPr>
      <w:r w:rsidRPr="00577CA4">
        <w:rPr>
          <w:rFonts w:asciiTheme="minorHAnsi" w:hAnsiTheme="minorHAnsi" w:cstheme="minorHAnsi"/>
          <w:b/>
          <w:bCs/>
        </w:rPr>
        <w:t>Support</w:t>
      </w:r>
      <w:r w:rsidRPr="00615030">
        <w:rPr>
          <w:rFonts w:asciiTheme="minorHAnsi" w:hAnsiTheme="minorHAnsi" w:cstheme="minorHAnsi"/>
        </w:rPr>
        <w:t xml:space="preserve"> the harmonization efforts by identifying additional areas requiring attention or improvement.</w:t>
      </w:r>
    </w:p>
    <w:p w14:paraId="7A536692" w14:textId="77777777" w:rsidR="00A35C7F" w:rsidRDefault="00A35C7F">
      <w:pPr>
        <w:rPr>
          <w:rFonts w:asciiTheme="minorHAnsi" w:hAnsiTheme="minorHAnsi" w:cstheme="minorHAnsi"/>
        </w:rPr>
      </w:pPr>
      <w:r>
        <w:rPr>
          <w:rFonts w:asciiTheme="minorHAnsi" w:hAnsiTheme="minorHAnsi" w:cstheme="minorHAnsi"/>
        </w:rPr>
        <w:br w:type="page"/>
      </w:r>
    </w:p>
    <w:p w14:paraId="15DE1914" w14:textId="1B5DD16E" w:rsidR="00801560" w:rsidRPr="003855DB" w:rsidRDefault="00A35C7F" w:rsidP="00A35C7F">
      <w:pPr>
        <w:spacing w:line="276" w:lineRule="auto"/>
        <w:jc w:val="both"/>
        <w:rPr>
          <w:rFonts w:asciiTheme="minorHAnsi" w:hAnsiTheme="minorHAnsi" w:cstheme="minorHAnsi"/>
          <w:b/>
          <w:bCs/>
          <w:lang w:val="en-US" w:eastAsia="ko-KR"/>
        </w:rPr>
      </w:pPr>
      <w:r w:rsidRPr="003855DB">
        <w:rPr>
          <w:rFonts w:asciiTheme="minorHAnsi" w:hAnsiTheme="minorHAnsi" w:cstheme="minorHAnsi"/>
          <w:b/>
          <w:bCs/>
          <w:lang w:val="en-US" w:eastAsia="ko-KR"/>
        </w:rPr>
        <w:lastRenderedPageBreak/>
        <w:t>Annex A</w:t>
      </w:r>
      <w:r w:rsidR="00801560" w:rsidRPr="003855DB">
        <w:rPr>
          <w:rFonts w:asciiTheme="minorHAnsi" w:hAnsiTheme="minorHAnsi" w:cstheme="minorHAnsi"/>
          <w:b/>
          <w:bCs/>
          <w:lang w:val="en-US" w:eastAsia="ko-KR"/>
        </w:rPr>
        <w:t xml:space="preserve"> </w:t>
      </w:r>
      <w:r w:rsidR="003855DB" w:rsidRPr="003855DB">
        <w:rPr>
          <w:rFonts w:asciiTheme="minorHAnsi" w:hAnsiTheme="minorHAnsi" w:cstheme="minorHAnsi"/>
          <w:b/>
          <w:bCs/>
          <w:lang w:val="en-US" w:eastAsia="ko-KR"/>
        </w:rPr>
        <w:t>Comparative t</w:t>
      </w:r>
      <w:r w:rsidR="00801560" w:rsidRPr="003855DB">
        <w:rPr>
          <w:rFonts w:asciiTheme="minorHAnsi" w:hAnsiTheme="minorHAnsi" w:cstheme="minorHAnsi"/>
          <w:b/>
          <w:bCs/>
          <w:lang w:val="en-US" w:eastAsia="ko-KR"/>
        </w:rPr>
        <w:t>able of IALA and IHO term and definitions</w:t>
      </w:r>
      <w:r w:rsidRPr="003855DB">
        <w:rPr>
          <w:rFonts w:asciiTheme="minorHAnsi" w:hAnsiTheme="minorHAnsi" w:cstheme="minorHAnsi"/>
          <w:b/>
          <w:bCs/>
          <w:lang w:val="en-US" w:eastAsia="ko-KR"/>
        </w:rPr>
        <w:t xml:space="preserve"> </w:t>
      </w:r>
    </w:p>
    <w:p w14:paraId="1810780C" w14:textId="77777777" w:rsidR="003855DB" w:rsidRDefault="003855DB" w:rsidP="00A35C7F">
      <w:pPr>
        <w:spacing w:line="276" w:lineRule="auto"/>
        <w:jc w:val="both"/>
        <w:rPr>
          <w:rFonts w:asciiTheme="minorHAnsi" w:hAnsiTheme="minorHAnsi" w:cstheme="minorHAnsi"/>
          <w:lang w:val="en-US" w:eastAsia="ko-KR"/>
        </w:rPr>
      </w:pPr>
    </w:p>
    <w:p w14:paraId="5E3C623B" w14:textId="436BC279" w:rsidR="003855DB" w:rsidRDefault="003855DB" w:rsidP="00A35C7F">
      <w:pPr>
        <w:spacing w:line="276" w:lineRule="auto"/>
        <w:jc w:val="both"/>
        <w:rPr>
          <w:rFonts w:asciiTheme="minorHAnsi" w:hAnsiTheme="minorHAnsi" w:cstheme="minorHAnsi"/>
          <w:lang w:val="en-US" w:eastAsia="ko-KR"/>
        </w:rPr>
      </w:pPr>
      <w:r>
        <w:rPr>
          <w:rFonts w:asciiTheme="minorHAnsi" w:hAnsiTheme="minorHAnsi" w:cstheme="minorHAnsi" w:hint="eastAsia"/>
          <w:lang w:val="en-US" w:eastAsia="ko-KR"/>
        </w:rPr>
        <w:t>See attached document</w:t>
      </w:r>
    </w:p>
    <w:p w14:paraId="688B238F" w14:textId="2108A9D9" w:rsidR="003855DB" w:rsidRPr="003855DB" w:rsidRDefault="00557442" w:rsidP="00A35C7F">
      <w:pPr>
        <w:spacing w:line="276" w:lineRule="auto"/>
        <w:jc w:val="both"/>
        <w:rPr>
          <w:rFonts w:asciiTheme="minorHAnsi" w:hAnsiTheme="minorHAnsi" w:cstheme="minorHAnsi"/>
          <w:lang w:val="en-US" w:eastAsia="ko-KR"/>
        </w:rPr>
      </w:pPr>
      <w:r>
        <w:rPr>
          <w:rFonts w:asciiTheme="minorHAnsi" w:hAnsiTheme="minorHAnsi" w:cstheme="minorHAnsi"/>
          <w:lang w:val="en-US" w:eastAsia="ko-KR"/>
        </w:rPr>
        <w:object w:dxaOrig="1486" w:dyaOrig="991" w14:anchorId="6468A0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3pt;height:49.65pt" o:ole="">
            <v:imagedata r:id="rId13" o:title=""/>
          </v:shape>
          <o:OLEObject Type="Embed" ProgID="Excel.Sheet.12" ShapeID="_x0000_i1025" DrawAspect="Icon" ObjectID="_1799580031" r:id="rId14"/>
        </w:object>
      </w:r>
    </w:p>
    <w:p w14:paraId="0474D828" w14:textId="2463AEE1" w:rsidR="00801560" w:rsidRPr="003855DB" w:rsidRDefault="00801560" w:rsidP="00801560">
      <w:pPr>
        <w:jc w:val="both"/>
        <w:rPr>
          <w:rFonts w:asciiTheme="minorHAnsi" w:hAnsiTheme="minorHAnsi" w:cstheme="minorHAnsi"/>
          <w:b/>
          <w:bCs/>
          <w:lang w:eastAsia="ko-KR"/>
        </w:rPr>
      </w:pPr>
      <w:r w:rsidRPr="003855DB">
        <w:rPr>
          <w:rFonts w:asciiTheme="minorHAnsi" w:hAnsiTheme="minorHAnsi" w:cstheme="minorHAnsi"/>
          <w:b/>
          <w:bCs/>
        </w:rPr>
        <w:t>Annex B Reference</w:t>
      </w:r>
      <w:r w:rsidR="003855DB" w:rsidRPr="003855DB">
        <w:rPr>
          <w:rFonts w:asciiTheme="minorHAnsi" w:hAnsiTheme="minorHAnsi" w:cstheme="minorHAnsi"/>
          <w:b/>
          <w:bCs/>
          <w:lang w:eastAsia="ko-KR"/>
        </w:rPr>
        <w:t xml:space="preserve"> and</w:t>
      </w:r>
      <w:r w:rsidRPr="003855DB">
        <w:rPr>
          <w:rFonts w:asciiTheme="minorHAnsi" w:hAnsiTheme="minorHAnsi" w:cstheme="minorHAnsi"/>
          <w:b/>
          <w:bCs/>
        </w:rPr>
        <w:t xml:space="preserve"> legend of IALA AtoN related concept</w:t>
      </w:r>
      <w:r w:rsidR="003855DB" w:rsidRPr="003855DB">
        <w:rPr>
          <w:rFonts w:asciiTheme="minorHAnsi" w:hAnsiTheme="minorHAnsi" w:cstheme="minorHAnsi"/>
          <w:b/>
          <w:bCs/>
          <w:lang w:eastAsia="ko-KR"/>
        </w:rPr>
        <w:t>s</w:t>
      </w:r>
      <w:r w:rsidRPr="003855DB">
        <w:rPr>
          <w:rFonts w:asciiTheme="minorHAnsi" w:hAnsiTheme="minorHAnsi" w:cstheme="minorHAnsi"/>
          <w:b/>
          <w:bCs/>
        </w:rPr>
        <w:t xml:space="preserve"> and symbol</w:t>
      </w:r>
      <w:r w:rsidR="003855DB" w:rsidRPr="003855DB">
        <w:rPr>
          <w:rFonts w:asciiTheme="minorHAnsi" w:hAnsiTheme="minorHAnsi" w:cstheme="minorHAnsi"/>
          <w:b/>
          <w:bCs/>
          <w:lang w:eastAsia="ko-KR"/>
        </w:rPr>
        <w:t>s</w:t>
      </w:r>
    </w:p>
    <w:p w14:paraId="0A474B08" w14:textId="058A1E69" w:rsidR="006E0AAA" w:rsidRPr="003855DB" w:rsidRDefault="006E0AAA" w:rsidP="00A35C7F">
      <w:pPr>
        <w:spacing w:line="276" w:lineRule="auto"/>
        <w:jc w:val="both"/>
        <w:rPr>
          <w:rFonts w:asciiTheme="minorHAnsi" w:hAnsiTheme="minorHAnsi" w:cstheme="minorHAnsi"/>
        </w:rPr>
      </w:pPr>
    </w:p>
    <w:p w14:paraId="325C9BC3" w14:textId="77777777" w:rsidR="003855DB" w:rsidRDefault="003855DB" w:rsidP="003855DB">
      <w:pPr>
        <w:spacing w:line="276" w:lineRule="auto"/>
        <w:jc w:val="both"/>
        <w:rPr>
          <w:rFonts w:asciiTheme="minorHAnsi" w:hAnsiTheme="minorHAnsi" w:cstheme="minorHAnsi"/>
          <w:lang w:val="en-US" w:eastAsia="ko-KR"/>
        </w:rPr>
      </w:pPr>
      <w:r>
        <w:rPr>
          <w:rFonts w:asciiTheme="minorHAnsi" w:hAnsiTheme="minorHAnsi" w:cstheme="minorHAnsi" w:hint="eastAsia"/>
          <w:lang w:val="en-US" w:eastAsia="ko-KR"/>
        </w:rPr>
        <w:t>See attached document</w:t>
      </w:r>
    </w:p>
    <w:bookmarkStart w:id="0" w:name="_MON_1799500151"/>
    <w:bookmarkEnd w:id="0"/>
    <w:p w14:paraId="2A42DFA7" w14:textId="58BE7AE4" w:rsidR="006E0AAA" w:rsidRPr="006E0AAA" w:rsidRDefault="00557442" w:rsidP="003855DB">
      <w:pPr>
        <w:pStyle w:val="BodyTextIndent"/>
        <w:ind w:left="0"/>
        <w:rPr>
          <w:lang w:val="en-US" w:eastAsia="de-DE"/>
        </w:rPr>
      </w:pPr>
      <w:r>
        <w:rPr>
          <w:lang w:val="en-US" w:eastAsia="de-DE"/>
        </w:rPr>
        <w:object w:dxaOrig="1486" w:dyaOrig="991" w14:anchorId="1E7D5D90">
          <v:shape id="_x0000_i1026" type="#_x0000_t75" style="width:74.3pt;height:49.65pt" o:ole="">
            <v:imagedata r:id="rId15" o:title=""/>
          </v:shape>
          <o:OLEObject Type="Embed" ProgID="Word.Document.12" ShapeID="_x0000_i1026" DrawAspect="Icon" ObjectID="_1799580032" r:id="rId16">
            <o:FieldCodes>\s</o:FieldCodes>
          </o:OLEObject>
        </w:object>
      </w:r>
    </w:p>
    <w:sectPr w:rsidR="006E0AAA" w:rsidRPr="006E0AAA" w:rsidSect="0082480E">
      <w:headerReference w:type="default" r:id="rId17"/>
      <w:footerReference w:type="default" r:id="rId18"/>
      <w:headerReference w:type="first" r:id="rId1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DB326" w14:textId="77777777" w:rsidR="0037238C" w:rsidRDefault="0037238C" w:rsidP="00362CD9">
      <w:r>
        <w:separator/>
      </w:r>
    </w:p>
  </w:endnote>
  <w:endnote w:type="continuationSeparator" w:id="0">
    <w:p w14:paraId="0B66192E" w14:textId="77777777" w:rsidR="0037238C" w:rsidRDefault="0037238C"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auto"/>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3DA91EB8" w:rsidR="00362CD9" w:rsidRPr="00036B9E" w:rsidRDefault="00362CD9">
    <w:pPr>
      <w:pStyle w:val="Footer"/>
      <w:rPr>
        <w:rFonts w:ascii="Calibri" w:hAnsi="Calibri"/>
      </w:rPr>
    </w:pPr>
    <w:r w:rsidRPr="00036B9E">
      <w:rPr>
        <w:rFonts w:ascii="Calibri" w:hAnsi="Calibri"/>
      </w:rPr>
      <w:tab/>
    </w:r>
    <w:r w:rsidRPr="00036B9E">
      <w:rPr>
        <w:rFonts w:ascii="Calibri" w:hAnsi="Calibri"/>
      </w:rPr>
      <w:fldChar w:fldCharType="begin"/>
    </w:r>
    <w:r w:rsidRPr="00036B9E">
      <w:rPr>
        <w:rFonts w:ascii="Calibri" w:hAnsi="Calibri"/>
      </w:rPr>
      <w:instrText xml:space="preserve"> PAGE   \* MERGEFORMAT </w:instrText>
    </w:r>
    <w:r w:rsidRPr="00036B9E">
      <w:rPr>
        <w:rFonts w:ascii="Calibri" w:hAnsi="Calibri"/>
      </w:rPr>
      <w:fldChar w:fldCharType="separate"/>
    </w:r>
    <w:r w:rsidR="00EE3CC5">
      <w:rPr>
        <w:rFonts w:ascii="Calibri" w:hAnsi="Calibri"/>
        <w:noProof/>
      </w:rPr>
      <w:t>5</w:t>
    </w:r>
    <w:r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D616CD" w14:textId="77777777" w:rsidR="0037238C" w:rsidRDefault="0037238C" w:rsidP="00362CD9">
      <w:r>
        <w:separator/>
      </w:r>
    </w:p>
  </w:footnote>
  <w:footnote w:type="continuationSeparator" w:id="0">
    <w:p w14:paraId="3DCD4FAA" w14:textId="77777777" w:rsidR="0037238C" w:rsidRDefault="0037238C" w:rsidP="00362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7CBBFFC9" w:rsidR="007C346C" w:rsidRDefault="007A395D" w:rsidP="007A395D">
    <w:pPr>
      <w:pStyle w:val="Header"/>
      <w:jc w:val="right"/>
    </w:pPr>
    <w:r>
      <w:rPr>
        <w:noProof/>
      </w:rPr>
      <w:drawing>
        <wp:anchor distT="0" distB="0" distL="114300" distR="114300" simplePos="0" relativeHeight="251665408" behindDoc="0" locked="0" layoutInCell="1" allowOverlap="1" wp14:anchorId="1057C1DB" wp14:editId="14A3718B">
          <wp:simplePos x="0" y="0"/>
          <wp:positionH relativeFrom="column">
            <wp:posOffset>5533390</wp:posOffset>
          </wp:positionH>
          <wp:positionV relativeFrom="paragraph">
            <wp:posOffset>-294005</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27B5BF93" w:rsidR="007C346C" w:rsidRDefault="007C346C"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A0E59"/>
    <w:multiLevelType w:val="hybridMultilevel"/>
    <w:tmpl w:val="21681C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7908B0"/>
    <w:multiLevelType w:val="multilevel"/>
    <w:tmpl w:val="081ED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4766228"/>
    <w:multiLevelType w:val="hybridMultilevel"/>
    <w:tmpl w:val="8146B8D8"/>
    <w:lvl w:ilvl="0" w:tplc="88300844">
      <w:start w:val="5"/>
      <w:numFmt w:val="bullet"/>
      <w:lvlText w:val=""/>
      <w:lvlJc w:val="left"/>
      <w:pPr>
        <w:ind w:left="720" w:hanging="360"/>
      </w:pPr>
      <w:rPr>
        <w:rFonts w:ascii="Wingdings" w:eastAsia="Batang" w:hAnsi="Wingdings"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F6D03BF"/>
    <w:multiLevelType w:val="multilevel"/>
    <w:tmpl w:val="DFA09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0257B9"/>
    <w:multiLevelType w:val="multilevel"/>
    <w:tmpl w:val="154EA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1BD27325"/>
    <w:multiLevelType w:val="multilevel"/>
    <w:tmpl w:val="41C4545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C4D7923"/>
    <w:multiLevelType w:val="multilevel"/>
    <w:tmpl w:val="0106C6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D10260E"/>
    <w:multiLevelType w:val="multilevel"/>
    <w:tmpl w:val="37BCB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15:restartNumberingAfterBreak="0">
    <w:nsid w:val="29206438"/>
    <w:multiLevelType w:val="hybridMultilevel"/>
    <w:tmpl w:val="10D29EE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38FF51F2"/>
    <w:multiLevelType w:val="hybridMultilevel"/>
    <w:tmpl w:val="FEF6D1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D8D18DD"/>
    <w:multiLevelType w:val="multilevel"/>
    <w:tmpl w:val="145C88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8" w15:restartNumberingAfterBreak="0">
    <w:nsid w:val="40577EBD"/>
    <w:multiLevelType w:val="multilevel"/>
    <w:tmpl w:val="C33EB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47555B09"/>
    <w:multiLevelType w:val="multilevel"/>
    <w:tmpl w:val="7FB255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4" w15:restartNumberingAfterBreak="0">
    <w:nsid w:val="4B4B50FD"/>
    <w:multiLevelType w:val="multilevel"/>
    <w:tmpl w:val="897E3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6"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7" w15:restartNumberingAfterBreak="0">
    <w:nsid w:val="57BF107C"/>
    <w:multiLevelType w:val="hybridMultilevel"/>
    <w:tmpl w:val="626C3432"/>
    <w:lvl w:ilvl="0" w:tplc="36FA7D74">
      <w:numFmt w:val="bullet"/>
      <w:lvlText w:val=""/>
      <w:lvlJc w:val="left"/>
      <w:pPr>
        <w:ind w:left="720" w:hanging="360"/>
      </w:pPr>
      <w:rPr>
        <w:rFonts w:ascii="Wingdings" w:eastAsia="Batang" w:hAnsi="Wingdings"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0056E62"/>
    <w:multiLevelType w:val="multilevel"/>
    <w:tmpl w:val="0948889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31"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6F171DD7"/>
    <w:multiLevelType w:val="hybridMultilevel"/>
    <w:tmpl w:val="D17AD094"/>
    <w:lvl w:ilvl="0" w:tplc="6DACD67E">
      <w:start w:val="1"/>
      <w:numFmt w:val="bullet"/>
      <w:lvlText w:val=""/>
      <w:lvlJc w:val="left"/>
      <w:pPr>
        <w:ind w:left="720" w:hanging="360"/>
      </w:pPr>
      <w:rPr>
        <w:rFonts w:ascii="Symbol" w:hAnsi="Symbol" w:hint="default"/>
        <w:color w:val="00558C"/>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70DD30B0"/>
    <w:multiLevelType w:val="multilevel"/>
    <w:tmpl w:val="107239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22D7D1A"/>
    <w:multiLevelType w:val="hybridMultilevel"/>
    <w:tmpl w:val="307683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EB667B5"/>
    <w:multiLevelType w:val="multilevel"/>
    <w:tmpl w:val="B46655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657667">
    <w:abstractNumId w:val="29"/>
  </w:num>
  <w:num w:numId="2" w16cid:durableId="273825793">
    <w:abstractNumId w:val="22"/>
  </w:num>
  <w:num w:numId="3" w16cid:durableId="542251113">
    <w:abstractNumId w:val="4"/>
  </w:num>
  <w:num w:numId="4" w16cid:durableId="441730938">
    <w:abstractNumId w:val="31"/>
  </w:num>
  <w:num w:numId="5" w16cid:durableId="953445795">
    <w:abstractNumId w:val="14"/>
  </w:num>
  <w:num w:numId="6" w16cid:durableId="711656638">
    <w:abstractNumId w:val="12"/>
  </w:num>
  <w:num w:numId="7" w16cid:durableId="961574725">
    <w:abstractNumId w:val="25"/>
  </w:num>
  <w:num w:numId="8" w16cid:durableId="1279677472">
    <w:abstractNumId w:val="23"/>
  </w:num>
  <w:num w:numId="9" w16cid:durableId="719592543">
    <w:abstractNumId w:val="30"/>
  </w:num>
  <w:num w:numId="10" w16cid:durableId="277414519">
    <w:abstractNumId w:val="11"/>
  </w:num>
  <w:num w:numId="11" w16cid:durableId="1446535492">
    <w:abstractNumId w:val="26"/>
  </w:num>
  <w:num w:numId="12" w16cid:durableId="868035018">
    <w:abstractNumId w:val="19"/>
  </w:num>
  <w:num w:numId="13" w16cid:durableId="2026443237">
    <w:abstractNumId w:val="17"/>
  </w:num>
  <w:num w:numId="14" w16cid:durableId="274875165">
    <w:abstractNumId w:val="7"/>
  </w:num>
  <w:num w:numId="15" w16cid:durableId="921598306">
    <w:abstractNumId w:val="21"/>
  </w:num>
  <w:num w:numId="16" w16cid:durableId="36123212">
    <w:abstractNumId w:val="2"/>
  </w:num>
  <w:num w:numId="17" w16cid:durableId="1787429411">
    <w:abstractNumId w:val="32"/>
  </w:num>
  <w:num w:numId="18" w16cid:durableId="2080639164">
    <w:abstractNumId w:val="15"/>
  </w:num>
  <w:num w:numId="19" w16cid:durableId="341519012">
    <w:abstractNumId w:val="18"/>
  </w:num>
  <w:num w:numId="20" w16cid:durableId="1387992271">
    <w:abstractNumId w:val="34"/>
  </w:num>
  <w:num w:numId="21" w16cid:durableId="1799642806">
    <w:abstractNumId w:val="20"/>
  </w:num>
  <w:num w:numId="22" w16cid:durableId="1829125166">
    <w:abstractNumId w:val="0"/>
  </w:num>
  <w:num w:numId="23" w16cid:durableId="707485253">
    <w:abstractNumId w:val="9"/>
  </w:num>
  <w:num w:numId="24" w16cid:durableId="1167746315">
    <w:abstractNumId w:val="27"/>
  </w:num>
  <w:num w:numId="25" w16cid:durableId="1008673221">
    <w:abstractNumId w:val="3"/>
  </w:num>
  <w:num w:numId="26" w16cid:durableId="1427311413">
    <w:abstractNumId w:val="35"/>
  </w:num>
  <w:num w:numId="27" w16cid:durableId="1317488478">
    <w:abstractNumId w:val="24"/>
  </w:num>
  <w:num w:numId="28" w16cid:durableId="423575080">
    <w:abstractNumId w:val="10"/>
  </w:num>
  <w:num w:numId="29" w16cid:durableId="1312293333">
    <w:abstractNumId w:val="6"/>
  </w:num>
  <w:num w:numId="30" w16cid:durableId="731538097">
    <w:abstractNumId w:val="16"/>
  </w:num>
  <w:num w:numId="31" w16cid:durableId="1358310516">
    <w:abstractNumId w:val="8"/>
  </w:num>
  <w:num w:numId="32" w16cid:durableId="814182851">
    <w:abstractNumId w:val="5"/>
  </w:num>
  <w:num w:numId="33" w16cid:durableId="207188163">
    <w:abstractNumId w:val="33"/>
  </w:num>
  <w:num w:numId="34" w16cid:durableId="1981835478">
    <w:abstractNumId w:val="7"/>
  </w:num>
  <w:num w:numId="35" w16cid:durableId="1163424133">
    <w:abstractNumId w:val="7"/>
  </w:num>
  <w:num w:numId="36" w16cid:durableId="1187521142">
    <w:abstractNumId w:val="28"/>
  </w:num>
  <w:num w:numId="37" w16cid:durableId="93408951">
    <w:abstractNumId w:val="1"/>
  </w:num>
  <w:num w:numId="38" w16cid:durableId="919556288">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6"/>
  <w:displayBackgroundShape/>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2052"/>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W2MDQxtzQ0tDAzMjJV0lEKTi0uzszPAykwrQUABjn4kywAAAA="/>
  </w:docVars>
  <w:rsids>
    <w:rsidRoot w:val="00FE5674"/>
    <w:rsid w:val="000005D3"/>
    <w:rsid w:val="000049D8"/>
    <w:rsid w:val="000205EE"/>
    <w:rsid w:val="0002383E"/>
    <w:rsid w:val="00026AAB"/>
    <w:rsid w:val="00036A03"/>
    <w:rsid w:val="00036B9E"/>
    <w:rsid w:val="00037DF4"/>
    <w:rsid w:val="0004700E"/>
    <w:rsid w:val="00066B85"/>
    <w:rsid w:val="00070C13"/>
    <w:rsid w:val="000715C9"/>
    <w:rsid w:val="00081FC9"/>
    <w:rsid w:val="00082035"/>
    <w:rsid w:val="00084F33"/>
    <w:rsid w:val="000A70E1"/>
    <w:rsid w:val="000A77A7"/>
    <w:rsid w:val="000B1707"/>
    <w:rsid w:val="000B5DA4"/>
    <w:rsid w:val="000C0F74"/>
    <w:rsid w:val="000C1B3E"/>
    <w:rsid w:val="000C349E"/>
    <w:rsid w:val="000D31B5"/>
    <w:rsid w:val="000E7981"/>
    <w:rsid w:val="000F0C27"/>
    <w:rsid w:val="00103FFF"/>
    <w:rsid w:val="0010494D"/>
    <w:rsid w:val="00110AE7"/>
    <w:rsid w:val="00115322"/>
    <w:rsid w:val="0012231B"/>
    <w:rsid w:val="00123081"/>
    <w:rsid w:val="0013728B"/>
    <w:rsid w:val="00165F02"/>
    <w:rsid w:val="00177F4D"/>
    <w:rsid w:val="00180DDA"/>
    <w:rsid w:val="001A1520"/>
    <w:rsid w:val="001B2A2D"/>
    <w:rsid w:val="001B64CD"/>
    <w:rsid w:val="001B737D"/>
    <w:rsid w:val="001C44A3"/>
    <w:rsid w:val="001E0E15"/>
    <w:rsid w:val="001F528A"/>
    <w:rsid w:val="001F704E"/>
    <w:rsid w:val="001F733C"/>
    <w:rsid w:val="00201722"/>
    <w:rsid w:val="00202F66"/>
    <w:rsid w:val="002125B0"/>
    <w:rsid w:val="002300CD"/>
    <w:rsid w:val="00233F46"/>
    <w:rsid w:val="00243228"/>
    <w:rsid w:val="00251483"/>
    <w:rsid w:val="00255CAA"/>
    <w:rsid w:val="00264305"/>
    <w:rsid w:val="0027236F"/>
    <w:rsid w:val="00272DE8"/>
    <w:rsid w:val="002734B4"/>
    <w:rsid w:val="002853AE"/>
    <w:rsid w:val="0028701D"/>
    <w:rsid w:val="002A0346"/>
    <w:rsid w:val="002A32F2"/>
    <w:rsid w:val="002A4487"/>
    <w:rsid w:val="002B1257"/>
    <w:rsid w:val="002B441C"/>
    <w:rsid w:val="002B49E9"/>
    <w:rsid w:val="002C632E"/>
    <w:rsid w:val="002D3E8B"/>
    <w:rsid w:val="002D4575"/>
    <w:rsid w:val="002D5C0C"/>
    <w:rsid w:val="002E03D1"/>
    <w:rsid w:val="002E6B74"/>
    <w:rsid w:val="002E6FCA"/>
    <w:rsid w:val="002F17A5"/>
    <w:rsid w:val="00325C0E"/>
    <w:rsid w:val="00356CD0"/>
    <w:rsid w:val="00362CD9"/>
    <w:rsid w:val="0036475D"/>
    <w:rsid w:val="0037238C"/>
    <w:rsid w:val="0037487C"/>
    <w:rsid w:val="003761CA"/>
    <w:rsid w:val="00380DAF"/>
    <w:rsid w:val="003855DB"/>
    <w:rsid w:val="00394293"/>
    <w:rsid w:val="00397015"/>
    <w:rsid w:val="003972CE"/>
    <w:rsid w:val="003B28F5"/>
    <w:rsid w:val="003B390E"/>
    <w:rsid w:val="003B7B7D"/>
    <w:rsid w:val="003C54CB"/>
    <w:rsid w:val="003C7A2A"/>
    <w:rsid w:val="003C7BB7"/>
    <w:rsid w:val="003D2DC1"/>
    <w:rsid w:val="003D69D0"/>
    <w:rsid w:val="003E2743"/>
    <w:rsid w:val="003F0392"/>
    <w:rsid w:val="003F2918"/>
    <w:rsid w:val="003F430E"/>
    <w:rsid w:val="0041088C"/>
    <w:rsid w:val="00412DD0"/>
    <w:rsid w:val="00413E93"/>
    <w:rsid w:val="00420A38"/>
    <w:rsid w:val="00424EDC"/>
    <w:rsid w:val="00425D98"/>
    <w:rsid w:val="00431B19"/>
    <w:rsid w:val="00432939"/>
    <w:rsid w:val="004661AD"/>
    <w:rsid w:val="004A37D3"/>
    <w:rsid w:val="004A6C1D"/>
    <w:rsid w:val="004B6F02"/>
    <w:rsid w:val="004D1D85"/>
    <w:rsid w:val="004D3C3A"/>
    <w:rsid w:val="004E1CD1"/>
    <w:rsid w:val="004E21B8"/>
    <w:rsid w:val="004F7EFC"/>
    <w:rsid w:val="0050787B"/>
    <w:rsid w:val="005107EB"/>
    <w:rsid w:val="00511277"/>
    <w:rsid w:val="00516430"/>
    <w:rsid w:val="00521345"/>
    <w:rsid w:val="00523A26"/>
    <w:rsid w:val="00526DF0"/>
    <w:rsid w:val="00526F8C"/>
    <w:rsid w:val="00535139"/>
    <w:rsid w:val="0054063B"/>
    <w:rsid w:val="00545CC4"/>
    <w:rsid w:val="00551FFF"/>
    <w:rsid w:val="00557442"/>
    <w:rsid w:val="005607A2"/>
    <w:rsid w:val="0057198B"/>
    <w:rsid w:val="00573CFE"/>
    <w:rsid w:val="0057460F"/>
    <w:rsid w:val="00577CA4"/>
    <w:rsid w:val="005969F2"/>
    <w:rsid w:val="00597FAE"/>
    <w:rsid w:val="005A1662"/>
    <w:rsid w:val="005B32A3"/>
    <w:rsid w:val="005C0D44"/>
    <w:rsid w:val="005C3CA6"/>
    <w:rsid w:val="005C566C"/>
    <w:rsid w:val="005C7E69"/>
    <w:rsid w:val="005E14F5"/>
    <w:rsid w:val="005E262D"/>
    <w:rsid w:val="005E6CE2"/>
    <w:rsid w:val="005E7998"/>
    <w:rsid w:val="005F23D3"/>
    <w:rsid w:val="005F7E20"/>
    <w:rsid w:val="00605E43"/>
    <w:rsid w:val="006113E8"/>
    <w:rsid w:val="006133EC"/>
    <w:rsid w:val="00615030"/>
    <w:rsid w:val="006153BB"/>
    <w:rsid w:val="00632874"/>
    <w:rsid w:val="006509DA"/>
    <w:rsid w:val="00652409"/>
    <w:rsid w:val="00662239"/>
    <w:rsid w:val="00664189"/>
    <w:rsid w:val="006652C3"/>
    <w:rsid w:val="00667C97"/>
    <w:rsid w:val="00691FD0"/>
    <w:rsid w:val="00692148"/>
    <w:rsid w:val="006A1A1E"/>
    <w:rsid w:val="006B5337"/>
    <w:rsid w:val="006C5948"/>
    <w:rsid w:val="006D3734"/>
    <w:rsid w:val="006E052C"/>
    <w:rsid w:val="006E0AAA"/>
    <w:rsid w:val="006E30FD"/>
    <w:rsid w:val="006F2A74"/>
    <w:rsid w:val="006F46B5"/>
    <w:rsid w:val="007000D4"/>
    <w:rsid w:val="007118F5"/>
    <w:rsid w:val="00712AA4"/>
    <w:rsid w:val="007146C4"/>
    <w:rsid w:val="007155EB"/>
    <w:rsid w:val="00721AA1"/>
    <w:rsid w:val="0072454E"/>
    <w:rsid w:val="00724B67"/>
    <w:rsid w:val="00726291"/>
    <w:rsid w:val="007523D0"/>
    <w:rsid w:val="007547F8"/>
    <w:rsid w:val="00765622"/>
    <w:rsid w:val="00770B6C"/>
    <w:rsid w:val="00771E0D"/>
    <w:rsid w:val="00772A62"/>
    <w:rsid w:val="00783FEA"/>
    <w:rsid w:val="0079067F"/>
    <w:rsid w:val="007A395D"/>
    <w:rsid w:val="007A4B82"/>
    <w:rsid w:val="007B6BD5"/>
    <w:rsid w:val="007C346C"/>
    <w:rsid w:val="007D01F9"/>
    <w:rsid w:val="007D2EEA"/>
    <w:rsid w:val="007E425E"/>
    <w:rsid w:val="007E62BA"/>
    <w:rsid w:val="007E6479"/>
    <w:rsid w:val="008005E8"/>
    <w:rsid w:val="00801560"/>
    <w:rsid w:val="0080294B"/>
    <w:rsid w:val="00804EAE"/>
    <w:rsid w:val="008056B3"/>
    <w:rsid w:val="008113BE"/>
    <w:rsid w:val="0082480E"/>
    <w:rsid w:val="00830BD5"/>
    <w:rsid w:val="00845603"/>
    <w:rsid w:val="00850293"/>
    <w:rsid w:val="00851373"/>
    <w:rsid w:val="00851BA6"/>
    <w:rsid w:val="0085654D"/>
    <w:rsid w:val="00861160"/>
    <w:rsid w:val="0086654F"/>
    <w:rsid w:val="00875A8E"/>
    <w:rsid w:val="008A03FE"/>
    <w:rsid w:val="008A356F"/>
    <w:rsid w:val="008A4653"/>
    <w:rsid w:val="008A4717"/>
    <w:rsid w:val="008A50CC"/>
    <w:rsid w:val="008B3040"/>
    <w:rsid w:val="008B7A56"/>
    <w:rsid w:val="008C574F"/>
    <w:rsid w:val="008C673F"/>
    <w:rsid w:val="008D1694"/>
    <w:rsid w:val="008D6C1F"/>
    <w:rsid w:val="008D79CB"/>
    <w:rsid w:val="008E3448"/>
    <w:rsid w:val="008F07BC"/>
    <w:rsid w:val="008F67E9"/>
    <w:rsid w:val="00903ABD"/>
    <w:rsid w:val="00905BF1"/>
    <w:rsid w:val="00914CCD"/>
    <w:rsid w:val="0091760D"/>
    <w:rsid w:val="00926318"/>
    <w:rsid w:val="0092692B"/>
    <w:rsid w:val="00930561"/>
    <w:rsid w:val="00943E9C"/>
    <w:rsid w:val="00953F4D"/>
    <w:rsid w:val="00960BB8"/>
    <w:rsid w:val="00964F5C"/>
    <w:rsid w:val="009724EA"/>
    <w:rsid w:val="00973B57"/>
    <w:rsid w:val="00975900"/>
    <w:rsid w:val="00975D11"/>
    <w:rsid w:val="009765AE"/>
    <w:rsid w:val="009831C0"/>
    <w:rsid w:val="00985CF0"/>
    <w:rsid w:val="0099161D"/>
    <w:rsid w:val="009974D4"/>
    <w:rsid w:val="009B2550"/>
    <w:rsid w:val="009B57CD"/>
    <w:rsid w:val="009B7BC4"/>
    <w:rsid w:val="009D3E6C"/>
    <w:rsid w:val="009E69F7"/>
    <w:rsid w:val="00A0389B"/>
    <w:rsid w:val="00A06552"/>
    <w:rsid w:val="00A31ADE"/>
    <w:rsid w:val="00A33A3C"/>
    <w:rsid w:val="00A35C7F"/>
    <w:rsid w:val="00A40F4F"/>
    <w:rsid w:val="00A4190E"/>
    <w:rsid w:val="00A446C9"/>
    <w:rsid w:val="00A45295"/>
    <w:rsid w:val="00A635D6"/>
    <w:rsid w:val="00A8553A"/>
    <w:rsid w:val="00A9097D"/>
    <w:rsid w:val="00A93AED"/>
    <w:rsid w:val="00A975D7"/>
    <w:rsid w:val="00AA640A"/>
    <w:rsid w:val="00AA6709"/>
    <w:rsid w:val="00AE1319"/>
    <w:rsid w:val="00AE34BB"/>
    <w:rsid w:val="00B10BFE"/>
    <w:rsid w:val="00B15B65"/>
    <w:rsid w:val="00B226F2"/>
    <w:rsid w:val="00B274DF"/>
    <w:rsid w:val="00B52706"/>
    <w:rsid w:val="00B56BDF"/>
    <w:rsid w:val="00B65812"/>
    <w:rsid w:val="00B70096"/>
    <w:rsid w:val="00B70900"/>
    <w:rsid w:val="00B766DC"/>
    <w:rsid w:val="00B85CD6"/>
    <w:rsid w:val="00B90A27"/>
    <w:rsid w:val="00B9554D"/>
    <w:rsid w:val="00BB2B9F"/>
    <w:rsid w:val="00BB3375"/>
    <w:rsid w:val="00BB7D9E"/>
    <w:rsid w:val="00BC2334"/>
    <w:rsid w:val="00BD3CB8"/>
    <w:rsid w:val="00BD4E6F"/>
    <w:rsid w:val="00BE195A"/>
    <w:rsid w:val="00BF32F0"/>
    <w:rsid w:val="00BF4DCE"/>
    <w:rsid w:val="00C05CE5"/>
    <w:rsid w:val="00C235B3"/>
    <w:rsid w:val="00C6171E"/>
    <w:rsid w:val="00C6238B"/>
    <w:rsid w:val="00C71042"/>
    <w:rsid w:val="00C76733"/>
    <w:rsid w:val="00C9159C"/>
    <w:rsid w:val="00CA15A9"/>
    <w:rsid w:val="00CA6F2C"/>
    <w:rsid w:val="00CC28BF"/>
    <w:rsid w:val="00CC3E50"/>
    <w:rsid w:val="00CD6A13"/>
    <w:rsid w:val="00CF1871"/>
    <w:rsid w:val="00CF30C4"/>
    <w:rsid w:val="00D01874"/>
    <w:rsid w:val="00D019CE"/>
    <w:rsid w:val="00D05DC2"/>
    <w:rsid w:val="00D1133E"/>
    <w:rsid w:val="00D17A34"/>
    <w:rsid w:val="00D26628"/>
    <w:rsid w:val="00D332B3"/>
    <w:rsid w:val="00D34EE9"/>
    <w:rsid w:val="00D55207"/>
    <w:rsid w:val="00D72454"/>
    <w:rsid w:val="00D727C1"/>
    <w:rsid w:val="00D72D19"/>
    <w:rsid w:val="00D75C74"/>
    <w:rsid w:val="00D8141D"/>
    <w:rsid w:val="00D81801"/>
    <w:rsid w:val="00D92B45"/>
    <w:rsid w:val="00D95962"/>
    <w:rsid w:val="00DA7EAB"/>
    <w:rsid w:val="00DB4453"/>
    <w:rsid w:val="00DC389B"/>
    <w:rsid w:val="00DE2FEE"/>
    <w:rsid w:val="00DF1467"/>
    <w:rsid w:val="00DF7BB9"/>
    <w:rsid w:val="00E00BE9"/>
    <w:rsid w:val="00E1101D"/>
    <w:rsid w:val="00E22A11"/>
    <w:rsid w:val="00E306E9"/>
    <w:rsid w:val="00E30C3F"/>
    <w:rsid w:val="00E31E5C"/>
    <w:rsid w:val="00E44DD2"/>
    <w:rsid w:val="00E558C3"/>
    <w:rsid w:val="00E55927"/>
    <w:rsid w:val="00E60540"/>
    <w:rsid w:val="00E6611D"/>
    <w:rsid w:val="00E66B50"/>
    <w:rsid w:val="00E77122"/>
    <w:rsid w:val="00E912A6"/>
    <w:rsid w:val="00EA4844"/>
    <w:rsid w:val="00EA4D9C"/>
    <w:rsid w:val="00EA5A97"/>
    <w:rsid w:val="00EB2248"/>
    <w:rsid w:val="00EB75EE"/>
    <w:rsid w:val="00EC441B"/>
    <w:rsid w:val="00EC44CB"/>
    <w:rsid w:val="00EE3CC5"/>
    <w:rsid w:val="00EE4C1D"/>
    <w:rsid w:val="00EE4E34"/>
    <w:rsid w:val="00EF3685"/>
    <w:rsid w:val="00EF3D54"/>
    <w:rsid w:val="00EF6B96"/>
    <w:rsid w:val="00F0010F"/>
    <w:rsid w:val="00F0044D"/>
    <w:rsid w:val="00F03808"/>
    <w:rsid w:val="00F04350"/>
    <w:rsid w:val="00F10A65"/>
    <w:rsid w:val="00F133DB"/>
    <w:rsid w:val="00F155E1"/>
    <w:rsid w:val="00F159EB"/>
    <w:rsid w:val="00F25BF4"/>
    <w:rsid w:val="00F267DB"/>
    <w:rsid w:val="00F46F6F"/>
    <w:rsid w:val="00F503E8"/>
    <w:rsid w:val="00F51273"/>
    <w:rsid w:val="00F534F9"/>
    <w:rsid w:val="00F60409"/>
    <w:rsid w:val="00F60608"/>
    <w:rsid w:val="00F62217"/>
    <w:rsid w:val="00F73288"/>
    <w:rsid w:val="00FA255C"/>
    <w:rsid w:val="00FB17A9"/>
    <w:rsid w:val="00FB397A"/>
    <w:rsid w:val="00FB527C"/>
    <w:rsid w:val="00FB6F75"/>
    <w:rsid w:val="00FC0EB3"/>
    <w:rsid w:val="00FD675E"/>
    <w:rsid w:val="00FE41D1"/>
    <w:rsid w:val="00FE5674"/>
    <w:rsid w:val="00FF55DE"/>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2"/>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4"/>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4"/>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4"/>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4"/>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4"/>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4"/>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4"/>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4"/>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4"/>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5"/>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1"/>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uiPriority w:val="10"/>
    <w:qFormat/>
    <w:rsid w:val="00943E9C"/>
    <w:pPr>
      <w:spacing w:before="120" w:after="240"/>
      <w:jc w:val="center"/>
      <w:outlineLvl w:val="0"/>
    </w:pPr>
    <w:rPr>
      <w:rFonts w:cs="Arial"/>
      <w:b/>
      <w:bCs/>
      <w:kern w:val="28"/>
      <w:sz w:val="32"/>
      <w:szCs w:val="32"/>
    </w:rPr>
  </w:style>
  <w:style w:type="character" w:customStyle="1" w:styleId="TitleChar">
    <w:name w:val="Title Char"/>
    <w:link w:val="Title"/>
    <w:uiPriority w:val="10"/>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0"/>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3"/>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6"/>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qFormat/>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NormalWeb">
    <w:name w:val="Normal (Web)"/>
    <w:basedOn w:val="Normal"/>
    <w:uiPriority w:val="99"/>
    <w:unhideWhenUsed/>
    <w:rsid w:val="00DB4453"/>
    <w:pPr>
      <w:spacing w:before="100" w:beforeAutospacing="1" w:after="100" w:afterAutospacing="1"/>
    </w:pPr>
    <w:rPr>
      <w:rFonts w:ascii="Times New Roman" w:eastAsia="Times New Roman" w:hAnsi="Times New Roman" w:cs="Times New Roman"/>
      <w:sz w:val="24"/>
      <w:szCs w:val="24"/>
      <w:lang w:eastAsia="ko-KR"/>
    </w:rPr>
  </w:style>
  <w:style w:type="character" w:styleId="Emphasis">
    <w:name w:val="Emphasis"/>
    <w:basedOn w:val="DefaultParagraphFont"/>
    <w:uiPriority w:val="20"/>
    <w:qFormat/>
    <w:rsid w:val="0012231B"/>
    <w:rPr>
      <w:i/>
      <w:iCs/>
    </w:rPr>
  </w:style>
  <w:style w:type="character" w:styleId="Strong">
    <w:name w:val="Strong"/>
    <w:basedOn w:val="DefaultParagraphFont"/>
    <w:uiPriority w:val="22"/>
    <w:qFormat/>
    <w:rsid w:val="00726291"/>
    <w:rPr>
      <w:b/>
      <w:bCs/>
    </w:rPr>
  </w:style>
  <w:style w:type="paragraph" w:customStyle="1" w:styleId="Default">
    <w:name w:val="Default"/>
    <w:rsid w:val="00C6238B"/>
    <w:pPr>
      <w:autoSpaceDE w:val="0"/>
      <w:autoSpaceDN w:val="0"/>
      <w:adjustRightInd w:val="0"/>
    </w:pPr>
    <w:rPr>
      <w:rFonts w:ascii="Arial" w:hAnsi="Arial" w:cs="Arial"/>
      <w:color w:val="000000"/>
      <w:sz w:val="24"/>
      <w:szCs w:val="24"/>
    </w:rPr>
  </w:style>
  <w:style w:type="paragraph" w:styleId="Caption">
    <w:name w:val="caption"/>
    <w:basedOn w:val="Normal"/>
    <w:next w:val="Normal"/>
    <w:uiPriority w:val="35"/>
    <w:unhideWhenUsed/>
    <w:qFormat/>
    <w:rsid w:val="007E62BA"/>
    <w:pPr>
      <w:spacing w:after="200"/>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651655">
      <w:bodyDiv w:val="1"/>
      <w:marLeft w:val="0"/>
      <w:marRight w:val="0"/>
      <w:marTop w:val="0"/>
      <w:marBottom w:val="0"/>
      <w:divBdr>
        <w:top w:val="none" w:sz="0" w:space="0" w:color="auto"/>
        <w:left w:val="none" w:sz="0" w:space="0" w:color="auto"/>
        <w:bottom w:val="none" w:sz="0" w:space="0" w:color="auto"/>
        <w:right w:val="none" w:sz="0" w:space="0" w:color="auto"/>
      </w:divBdr>
    </w:div>
    <w:div w:id="60443758">
      <w:bodyDiv w:val="1"/>
      <w:marLeft w:val="0"/>
      <w:marRight w:val="0"/>
      <w:marTop w:val="0"/>
      <w:marBottom w:val="0"/>
      <w:divBdr>
        <w:top w:val="none" w:sz="0" w:space="0" w:color="auto"/>
        <w:left w:val="none" w:sz="0" w:space="0" w:color="auto"/>
        <w:bottom w:val="none" w:sz="0" w:space="0" w:color="auto"/>
        <w:right w:val="none" w:sz="0" w:space="0" w:color="auto"/>
      </w:divBdr>
    </w:div>
    <w:div w:id="62725343">
      <w:bodyDiv w:val="1"/>
      <w:marLeft w:val="0"/>
      <w:marRight w:val="0"/>
      <w:marTop w:val="0"/>
      <w:marBottom w:val="0"/>
      <w:divBdr>
        <w:top w:val="none" w:sz="0" w:space="0" w:color="auto"/>
        <w:left w:val="none" w:sz="0" w:space="0" w:color="auto"/>
        <w:bottom w:val="none" w:sz="0" w:space="0" w:color="auto"/>
        <w:right w:val="none" w:sz="0" w:space="0" w:color="auto"/>
      </w:divBdr>
    </w:div>
    <w:div w:id="82655310">
      <w:bodyDiv w:val="1"/>
      <w:marLeft w:val="0"/>
      <w:marRight w:val="0"/>
      <w:marTop w:val="0"/>
      <w:marBottom w:val="0"/>
      <w:divBdr>
        <w:top w:val="none" w:sz="0" w:space="0" w:color="auto"/>
        <w:left w:val="none" w:sz="0" w:space="0" w:color="auto"/>
        <w:bottom w:val="none" w:sz="0" w:space="0" w:color="auto"/>
        <w:right w:val="none" w:sz="0" w:space="0" w:color="auto"/>
      </w:divBdr>
    </w:div>
    <w:div w:id="120928151">
      <w:bodyDiv w:val="1"/>
      <w:marLeft w:val="0"/>
      <w:marRight w:val="0"/>
      <w:marTop w:val="0"/>
      <w:marBottom w:val="0"/>
      <w:divBdr>
        <w:top w:val="none" w:sz="0" w:space="0" w:color="auto"/>
        <w:left w:val="none" w:sz="0" w:space="0" w:color="auto"/>
        <w:bottom w:val="none" w:sz="0" w:space="0" w:color="auto"/>
        <w:right w:val="none" w:sz="0" w:space="0" w:color="auto"/>
      </w:divBdr>
    </w:div>
    <w:div w:id="121273281">
      <w:bodyDiv w:val="1"/>
      <w:marLeft w:val="0"/>
      <w:marRight w:val="0"/>
      <w:marTop w:val="0"/>
      <w:marBottom w:val="0"/>
      <w:divBdr>
        <w:top w:val="none" w:sz="0" w:space="0" w:color="auto"/>
        <w:left w:val="none" w:sz="0" w:space="0" w:color="auto"/>
        <w:bottom w:val="none" w:sz="0" w:space="0" w:color="auto"/>
        <w:right w:val="none" w:sz="0" w:space="0" w:color="auto"/>
      </w:divBdr>
    </w:div>
    <w:div w:id="123234457">
      <w:bodyDiv w:val="1"/>
      <w:marLeft w:val="0"/>
      <w:marRight w:val="0"/>
      <w:marTop w:val="0"/>
      <w:marBottom w:val="0"/>
      <w:divBdr>
        <w:top w:val="none" w:sz="0" w:space="0" w:color="auto"/>
        <w:left w:val="none" w:sz="0" w:space="0" w:color="auto"/>
        <w:bottom w:val="none" w:sz="0" w:space="0" w:color="auto"/>
        <w:right w:val="none" w:sz="0" w:space="0" w:color="auto"/>
      </w:divBdr>
    </w:div>
    <w:div w:id="171995765">
      <w:bodyDiv w:val="1"/>
      <w:marLeft w:val="0"/>
      <w:marRight w:val="0"/>
      <w:marTop w:val="0"/>
      <w:marBottom w:val="0"/>
      <w:divBdr>
        <w:top w:val="none" w:sz="0" w:space="0" w:color="auto"/>
        <w:left w:val="none" w:sz="0" w:space="0" w:color="auto"/>
        <w:bottom w:val="none" w:sz="0" w:space="0" w:color="auto"/>
        <w:right w:val="none" w:sz="0" w:space="0" w:color="auto"/>
      </w:divBdr>
    </w:div>
    <w:div w:id="188301955">
      <w:bodyDiv w:val="1"/>
      <w:marLeft w:val="0"/>
      <w:marRight w:val="0"/>
      <w:marTop w:val="0"/>
      <w:marBottom w:val="0"/>
      <w:divBdr>
        <w:top w:val="none" w:sz="0" w:space="0" w:color="auto"/>
        <w:left w:val="none" w:sz="0" w:space="0" w:color="auto"/>
        <w:bottom w:val="none" w:sz="0" w:space="0" w:color="auto"/>
        <w:right w:val="none" w:sz="0" w:space="0" w:color="auto"/>
      </w:divBdr>
    </w:div>
    <w:div w:id="190531785">
      <w:bodyDiv w:val="1"/>
      <w:marLeft w:val="0"/>
      <w:marRight w:val="0"/>
      <w:marTop w:val="0"/>
      <w:marBottom w:val="0"/>
      <w:divBdr>
        <w:top w:val="none" w:sz="0" w:space="0" w:color="auto"/>
        <w:left w:val="none" w:sz="0" w:space="0" w:color="auto"/>
        <w:bottom w:val="none" w:sz="0" w:space="0" w:color="auto"/>
        <w:right w:val="none" w:sz="0" w:space="0" w:color="auto"/>
      </w:divBdr>
    </w:div>
    <w:div w:id="236595374">
      <w:bodyDiv w:val="1"/>
      <w:marLeft w:val="0"/>
      <w:marRight w:val="0"/>
      <w:marTop w:val="0"/>
      <w:marBottom w:val="0"/>
      <w:divBdr>
        <w:top w:val="none" w:sz="0" w:space="0" w:color="auto"/>
        <w:left w:val="none" w:sz="0" w:space="0" w:color="auto"/>
        <w:bottom w:val="none" w:sz="0" w:space="0" w:color="auto"/>
        <w:right w:val="none" w:sz="0" w:space="0" w:color="auto"/>
      </w:divBdr>
    </w:div>
    <w:div w:id="289093366">
      <w:bodyDiv w:val="1"/>
      <w:marLeft w:val="0"/>
      <w:marRight w:val="0"/>
      <w:marTop w:val="0"/>
      <w:marBottom w:val="0"/>
      <w:divBdr>
        <w:top w:val="none" w:sz="0" w:space="0" w:color="auto"/>
        <w:left w:val="none" w:sz="0" w:space="0" w:color="auto"/>
        <w:bottom w:val="none" w:sz="0" w:space="0" w:color="auto"/>
        <w:right w:val="none" w:sz="0" w:space="0" w:color="auto"/>
      </w:divBdr>
    </w:div>
    <w:div w:id="318770983">
      <w:bodyDiv w:val="1"/>
      <w:marLeft w:val="0"/>
      <w:marRight w:val="0"/>
      <w:marTop w:val="0"/>
      <w:marBottom w:val="0"/>
      <w:divBdr>
        <w:top w:val="none" w:sz="0" w:space="0" w:color="auto"/>
        <w:left w:val="none" w:sz="0" w:space="0" w:color="auto"/>
        <w:bottom w:val="none" w:sz="0" w:space="0" w:color="auto"/>
        <w:right w:val="none" w:sz="0" w:space="0" w:color="auto"/>
      </w:divBdr>
    </w:div>
    <w:div w:id="406154471">
      <w:bodyDiv w:val="1"/>
      <w:marLeft w:val="0"/>
      <w:marRight w:val="0"/>
      <w:marTop w:val="0"/>
      <w:marBottom w:val="0"/>
      <w:divBdr>
        <w:top w:val="none" w:sz="0" w:space="0" w:color="auto"/>
        <w:left w:val="none" w:sz="0" w:space="0" w:color="auto"/>
        <w:bottom w:val="none" w:sz="0" w:space="0" w:color="auto"/>
        <w:right w:val="none" w:sz="0" w:space="0" w:color="auto"/>
      </w:divBdr>
    </w:div>
    <w:div w:id="489836414">
      <w:bodyDiv w:val="1"/>
      <w:marLeft w:val="0"/>
      <w:marRight w:val="0"/>
      <w:marTop w:val="0"/>
      <w:marBottom w:val="0"/>
      <w:divBdr>
        <w:top w:val="none" w:sz="0" w:space="0" w:color="auto"/>
        <w:left w:val="none" w:sz="0" w:space="0" w:color="auto"/>
        <w:bottom w:val="none" w:sz="0" w:space="0" w:color="auto"/>
        <w:right w:val="none" w:sz="0" w:space="0" w:color="auto"/>
      </w:divBdr>
    </w:div>
    <w:div w:id="689379016">
      <w:bodyDiv w:val="1"/>
      <w:marLeft w:val="0"/>
      <w:marRight w:val="0"/>
      <w:marTop w:val="0"/>
      <w:marBottom w:val="0"/>
      <w:divBdr>
        <w:top w:val="none" w:sz="0" w:space="0" w:color="auto"/>
        <w:left w:val="none" w:sz="0" w:space="0" w:color="auto"/>
        <w:bottom w:val="none" w:sz="0" w:space="0" w:color="auto"/>
        <w:right w:val="none" w:sz="0" w:space="0" w:color="auto"/>
      </w:divBdr>
    </w:div>
    <w:div w:id="714240025">
      <w:bodyDiv w:val="1"/>
      <w:marLeft w:val="0"/>
      <w:marRight w:val="0"/>
      <w:marTop w:val="0"/>
      <w:marBottom w:val="0"/>
      <w:divBdr>
        <w:top w:val="none" w:sz="0" w:space="0" w:color="auto"/>
        <w:left w:val="none" w:sz="0" w:space="0" w:color="auto"/>
        <w:bottom w:val="none" w:sz="0" w:space="0" w:color="auto"/>
        <w:right w:val="none" w:sz="0" w:space="0" w:color="auto"/>
      </w:divBdr>
    </w:div>
    <w:div w:id="738137070">
      <w:bodyDiv w:val="1"/>
      <w:marLeft w:val="0"/>
      <w:marRight w:val="0"/>
      <w:marTop w:val="0"/>
      <w:marBottom w:val="0"/>
      <w:divBdr>
        <w:top w:val="none" w:sz="0" w:space="0" w:color="auto"/>
        <w:left w:val="none" w:sz="0" w:space="0" w:color="auto"/>
        <w:bottom w:val="none" w:sz="0" w:space="0" w:color="auto"/>
        <w:right w:val="none" w:sz="0" w:space="0" w:color="auto"/>
      </w:divBdr>
    </w:div>
    <w:div w:id="760881200">
      <w:bodyDiv w:val="1"/>
      <w:marLeft w:val="0"/>
      <w:marRight w:val="0"/>
      <w:marTop w:val="0"/>
      <w:marBottom w:val="0"/>
      <w:divBdr>
        <w:top w:val="none" w:sz="0" w:space="0" w:color="auto"/>
        <w:left w:val="none" w:sz="0" w:space="0" w:color="auto"/>
        <w:bottom w:val="none" w:sz="0" w:space="0" w:color="auto"/>
        <w:right w:val="none" w:sz="0" w:space="0" w:color="auto"/>
      </w:divBdr>
    </w:div>
    <w:div w:id="805320278">
      <w:bodyDiv w:val="1"/>
      <w:marLeft w:val="0"/>
      <w:marRight w:val="0"/>
      <w:marTop w:val="0"/>
      <w:marBottom w:val="0"/>
      <w:divBdr>
        <w:top w:val="none" w:sz="0" w:space="0" w:color="auto"/>
        <w:left w:val="none" w:sz="0" w:space="0" w:color="auto"/>
        <w:bottom w:val="none" w:sz="0" w:space="0" w:color="auto"/>
        <w:right w:val="none" w:sz="0" w:space="0" w:color="auto"/>
      </w:divBdr>
    </w:div>
    <w:div w:id="839351902">
      <w:bodyDiv w:val="1"/>
      <w:marLeft w:val="0"/>
      <w:marRight w:val="0"/>
      <w:marTop w:val="0"/>
      <w:marBottom w:val="0"/>
      <w:divBdr>
        <w:top w:val="none" w:sz="0" w:space="0" w:color="auto"/>
        <w:left w:val="none" w:sz="0" w:space="0" w:color="auto"/>
        <w:bottom w:val="none" w:sz="0" w:space="0" w:color="auto"/>
        <w:right w:val="none" w:sz="0" w:space="0" w:color="auto"/>
      </w:divBdr>
    </w:div>
    <w:div w:id="871114815">
      <w:bodyDiv w:val="1"/>
      <w:marLeft w:val="0"/>
      <w:marRight w:val="0"/>
      <w:marTop w:val="0"/>
      <w:marBottom w:val="0"/>
      <w:divBdr>
        <w:top w:val="none" w:sz="0" w:space="0" w:color="auto"/>
        <w:left w:val="none" w:sz="0" w:space="0" w:color="auto"/>
        <w:bottom w:val="none" w:sz="0" w:space="0" w:color="auto"/>
        <w:right w:val="none" w:sz="0" w:space="0" w:color="auto"/>
      </w:divBdr>
    </w:div>
    <w:div w:id="938103655">
      <w:bodyDiv w:val="1"/>
      <w:marLeft w:val="0"/>
      <w:marRight w:val="0"/>
      <w:marTop w:val="0"/>
      <w:marBottom w:val="0"/>
      <w:divBdr>
        <w:top w:val="none" w:sz="0" w:space="0" w:color="auto"/>
        <w:left w:val="none" w:sz="0" w:space="0" w:color="auto"/>
        <w:bottom w:val="none" w:sz="0" w:space="0" w:color="auto"/>
        <w:right w:val="none" w:sz="0" w:space="0" w:color="auto"/>
      </w:divBdr>
    </w:div>
    <w:div w:id="1015495093">
      <w:bodyDiv w:val="1"/>
      <w:marLeft w:val="0"/>
      <w:marRight w:val="0"/>
      <w:marTop w:val="0"/>
      <w:marBottom w:val="0"/>
      <w:divBdr>
        <w:top w:val="none" w:sz="0" w:space="0" w:color="auto"/>
        <w:left w:val="none" w:sz="0" w:space="0" w:color="auto"/>
        <w:bottom w:val="none" w:sz="0" w:space="0" w:color="auto"/>
        <w:right w:val="none" w:sz="0" w:space="0" w:color="auto"/>
      </w:divBdr>
    </w:div>
    <w:div w:id="1028799938">
      <w:bodyDiv w:val="1"/>
      <w:marLeft w:val="0"/>
      <w:marRight w:val="0"/>
      <w:marTop w:val="0"/>
      <w:marBottom w:val="0"/>
      <w:divBdr>
        <w:top w:val="none" w:sz="0" w:space="0" w:color="auto"/>
        <w:left w:val="none" w:sz="0" w:space="0" w:color="auto"/>
        <w:bottom w:val="none" w:sz="0" w:space="0" w:color="auto"/>
        <w:right w:val="none" w:sz="0" w:space="0" w:color="auto"/>
      </w:divBdr>
    </w:div>
    <w:div w:id="1051687022">
      <w:bodyDiv w:val="1"/>
      <w:marLeft w:val="0"/>
      <w:marRight w:val="0"/>
      <w:marTop w:val="0"/>
      <w:marBottom w:val="0"/>
      <w:divBdr>
        <w:top w:val="none" w:sz="0" w:space="0" w:color="auto"/>
        <w:left w:val="none" w:sz="0" w:space="0" w:color="auto"/>
        <w:bottom w:val="none" w:sz="0" w:space="0" w:color="auto"/>
        <w:right w:val="none" w:sz="0" w:space="0" w:color="auto"/>
      </w:divBdr>
    </w:div>
    <w:div w:id="1193610552">
      <w:bodyDiv w:val="1"/>
      <w:marLeft w:val="0"/>
      <w:marRight w:val="0"/>
      <w:marTop w:val="0"/>
      <w:marBottom w:val="0"/>
      <w:divBdr>
        <w:top w:val="none" w:sz="0" w:space="0" w:color="auto"/>
        <w:left w:val="none" w:sz="0" w:space="0" w:color="auto"/>
        <w:bottom w:val="none" w:sz="0" w:space="0" w:color="auto"/>
        <w:right w:val="none" w:sz="0" w:space="0" w:color="auto"/>
      </w:divBdr>
    </w:div>
    <w:div w:id="1215315899">
      <w:bodyDiv w:val="1"/>
      <w:marLeft w:val="0"/>
      <w:marRight w:val="0"/>
      <w:marTop w:val="0"/>
      <w:marBottom w:val="0"/>
      <w:divBdr>
        <w:top w:val="none" w:sz="0" w:space="0" w:color="auto"/>
        <w:left w:val="none" w:sz="0" w:space="0" w:color="auto"/>
        <w:bottom w:val="none" w:sz="0" w:space="0" w:color="auto"/>
        <w:right w:val="none" w:sz="0" w:space="0" w:color="auto"/>
      </w:divBdr>
    </w:div>
    <w:div w:id="1303273092">
      <w:bodyDiv w:val="1"/>
      <w:marLeft w:val="0"/>
      <w:marRight w:val="0"/>
      <w:marTop w:val="0"/>
      <w:marBottom w:val="0"/>
      <w:divBdr>
        <w:top w:val="none" w:sz="0" w:space="0" w:color="auto"/>
        <w:left w:val="none" w:sz="0" w:space="0" w:color="auto"/>
        <w:bottom w:val="none" w:sz="0" w:space="0" w:color="auto"/>
        <w:right w:val="none" w:sz="0" w:space="0" w:color="auto"/>
      </w:divBdr>
    </w:div>
    <w:div w:id="1353923138">
      <w:bodyDiv w:val="1"/>
      <w:marLeft w:val="0"/>
      <w:marRight w:val="0"/>
      <w:marTop w:val="0"/>
      <w:marBottom w:val="0"/>
      <w:divBdr>
        <w:top w:val="none" w:sz="0" w:space="0" w:color="auto"/>
        <w:left w:val="none" w:sz="0" w:space="0" w:color="auto"/>
        <w:bottom w:val="none" w:sz="0" w:space="0" w:color="auto"/>
        <w:right w:val="none" w:sz="0" w:space="0" w:color="auto"/>
      </w:divBdr>
    </w:div>
    <w:div w:id="1528713416">
      <w:bodyDiv w:val="1"/>
      <w:marLeft w:val="0"/>
      <w:marRight w:val="0"/>
      <w:marTop w:val="0"/>
      <w:marBottom w:val="0"/>
      <w:divBdr>
        <w:top w:val="none" w:sz="0" w:space="0" w:color="auto"/>
        <w:left w:val="none" w:sz="0" w:space="0" w:color="auto"/>
        <w:bottom w:val="none" w:sz="0" w:space="0" w:color="auto"/>
        <w:right w:val="none" w:sz="0" w:space="0" w:color="auto"/>
      </w:divBdr>
    </w:div>
    <w:div w:id="1593852073">
      <w:bodyDiv w:val="1"/>
      <w:marLeft w:val="0"/>
      <w:marRight w:val="0"/>
      <w:marTop w:val="0"/>
      <w:marBottom w:val="0"/>
      <w:divBdr>
        <w:top w:val="none" w:sz="0" w:space="0" w:color="auto"/>
        <w:left w:val="none" w:sz="0" w:space="0" w:color="auto"/>
        <w:bottom w:val="none" w:sz="0" w:space="0" w:color="auto"/>
        <w:right w:val="none" w:sz="0" w:space="0" w:color="auto"/>
      </w:divBdr>
    </w:div>
    <w:div w:id="1598715466">
      <w:bodyDiv w:val="1"/>
      <w:marLeft w:val="0"/>
      <w:marRight w:val="0"/>
      <w:marTop w:val="0"/>
      <w:marBottom w:val="0"/>
      <w:divBdr>
        <w:top w:val="none" w:sz="0" w:space="0" w:color="auto"/>
        <w:left w:val="none" w:sz="0" w:space="0" w:color="auto"/>
        <w:bottom w:val="none" w:sz="0" w:space="0" w:color="auto"/>
        <w:right w:val="none" w:sz="0" w:space="0" w:color="auto"/>
      </w:divBdr>
    </w:div>
    <w:div w:id="1604221894">
      <w:bodyDiv w:val="1"/>
      <w:marLeft w:val="0"/>
      <w:marRight w:val="0"/>
      <w:marTop w:val="0"/>
      <w:marBottom w:val="0"/>
      <w:divBdr>
        <w:top w:val="none" w:sz="0" w:space="0" w:color="auto"/>
        <w:left w:val="none" w:sz="0" w:space="0" w:color="auto"/>
        <w:bottom w:val="none" w:sz="0" w:space="0" w:color="auto"/>
        <w:right w:val="none" w:sz="0" w:space="0" w:color="auto"/>
      </w:divBdr>
    </w:div>
    <w:div w:id="1679650555">
      <w:bodyDiv w:val="1"/>
      <w:marLeft w:val="0"/>
      <w:marRight w:val="0"/>
      <w:marTop w:val="0"/>
      <w:marBottom w:val="0"/>
      <w:divBdr>
        <w:top w:val="none" w:sz="0" w:space="0" w:color="auto"/>
        <w:left w:val="none" w:sz="0" w:space="0" w:color="auto"/>
        <w:bottom w:val="none" w:sz="0" w:space="0" w:color="auto"/>
        <w:right w:val="none" w:sz="0" w:space="0" w:color="auto"/>
      </w:divBdr>
    </w:div>
    <w:div w:id="1693724546">
      <w:bodyDiv w:val="1"/>
      <w:marLeft w:val="0"/>
      <w:marRight w:val="0"/>
      <w:marTop w:val="0"/>
      <w:marBottom w:val="0"/>
      <w:divBdr>
        <w:top w:val="none" w:sz="0" w:space="0" w:color="auto"/>
        <w:left w:val="none" w:sz="0" w:space="0" w:color="auto"/>
        <w:bottom w:val="none" w:sz="0" w:space="0" w:color="auto"/>
        <w:right w:val="none" w:sz="0" w:space="0" w:color="auto"/>
      </w:divBdr>
    </w:div>
    <w:div w:id="1703162813">
      <w:bodyDiv w:val="1"/>
      <w:marLeft w:val="0"/>
      <w:marRight w:val="0"/>
      <w:marTop w:val="0"/>
      <w:marBottom w:val="0"/>
      <w:divBdr>
        <w:top w:val="none" w:sz="0" w:space="0" w:color="auto"/>
        <w:left w:val="none" w:sz="0" w:space="0" w:color="auto"/>
        <w:bottom w:val="none" w:sz="0" w:space="0" w:color="auto"/>
        <w:right w:val="none" w:sz="0" w:space="0" w:color="auto"/>
      </w:divBdr>
    </w:div>
    <w:div w:id="1728265455">
      <w:bodyDiv w:val="1"/>
      <w:marLeft w:val="0"/>
      <w:marRight w:val="0"/>
      <w:marTop w:val="0"/>
      <w:marBottom w:val="0"/>
      <w:divBdr>
        <w:top w:val="none" w:sz="0" w:space="0" w:color="auto"/>
        <w:left w:val="none" w:sz="0" w:space="0" w:color="auto"/>
        <w:bottom w:val="none" w:sz="0" w:space="0" w:color="auto"/>
        <w:right w:val="none" w:sz="0" w:space="0" w:color="auto"/>
      </w:divBdr>
    </w:div>
    <w:div w:id="1730692957">
      <w:bodyDiv w:val="1"/>
      <w:marLeft w:val="0"/>
      <w:marRight w:val="0"/>
      <w:marTop w:val="0"/>
      <w:marBottom w:val="0"/>
      <w:divBdr>
        <w:top w:val="none" w:sz="0" w:space="0" w:color="auto"/>
        <w:left w:val="none" w:sz="0" w:space="0" w:color="auto"/>
        <w:bottom w:val="none" w:sz="0" w:space="0" w:color="auto"/>
        <w:right w:val="none" w:sz="0" w:space="0" w:color="auto"/>
      </w:divBdr>
    </w:div>
    <w:div w:id="1800955468">
      <w:bodyDiv w:val="1"/>
      <w:marLeft w:val="0"/>
      <w:marRight w:val="0"/>
      <w:marTop w:val="0"/>
      <w:marBottom w:val="0"/>
      <w:divBdr>
        <w:top w:val="none" w:sz="0" w:space="0" w:color="auto"/>
        <w:left w:val="none" w:sz="0" w:space="0" w:color="auto"/>
        <w:bottom w:val="none" w:sz="0" w:space="0" w:color="auto"/>
        <w:right w:val="none" w:sz="0" w:space="0" w:color="auto"/>
      </w:divBdr>
    </w:div>
    <w:div w:id="1864442351">
      <w:bodyDiv w:val="1"/>
      <w:marLeft w:val="0"/>
      <w:marRight w:val="0"/>
      <w:marTop w:val="0"/>
      <w:marBottom w:val="0"/>
      <w:divBdr>
        <w:top w:val="none" w:sz="0" w:space="0" w:color="auto"/>
        <w:left w:val="none" w:sz="0" w:space="0" w:color="auto"/>
        <w:bottom w:val="none" w:sz="0" w:space="0" w:color="auto"/>
        <w:right w:val="none" w:sz="0" w:space="0" w:color="auto"/>
      </w:divBdr>
    </w:div>
    <w:div w:id="1922987299">
      <w:bodyDiv w:val="1"/>
      <w:marLeft w:val="0"/>
      <w:marRight w:val="0"/>
      <w:marTop w:val="0"/>
      <w:marBottom w:val="0"/>
      <w:divBdr>
        <w:top w:val="none" w:sz="0" w:space="0" w:color="auto"/>
        <w:left w:val="none" w:sz="0" w:space="0" w:color="auto"/>
        <w:bottom w:val="none" w:sz="0" w:space="0" w:color="auto"/>
        <w:right w:val="none" w:sz="0" w:space="0" w:color="auto"/>
      </w:divBdr>
    </w:div>
    <w:div w:id="1997148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Excel_Worksheet.xlsx"/></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7B46AEA-873E-4805-86B2-11DCF0F06F0B}">
  <ds:schemaRefs>
    <ds:schemaRef ds:uri="http://schemas.openxmlformats.org/officeDocument/2006/bibliography"/>
  </ds:schemaRefs>
</ds:datastoreItem>
</file>

<file path=customXml/itemProps2.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3.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DFFD4D81-D485-4E1A-8422-C8DAB43A7A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744</Words>
  <Characters>4367</Characters>
  <Application>Microsoft Office Word</Application>
  <DocSecurity>0</DocSecurity>
  <Lines>36</Lines>
  <Paragraphs>10</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Wim</dc:creator>
  <cp:lastModifiedBy>Tom Southall</cp:lastModifiedBy>
  <cp:revision>90</cp:revision>
  <dcterms:created xsi:type="dcterms:W3CDTF">2024-06-10T13:55:00Z</dcterms:created>
  <dcterms:modified xsi:type="dcterms:W3CDTF">2025-01-28T14:34:00Z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ies>
</file>